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0CF3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</w:p>
    <w:p w14:paraId="4DD6EADE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8"/>
          <w:szCs w:val="28"/>
          <w:lang w:val="sk-SK" w:eastAsia="cs-CZ"/>
        </w:rPr>
        <w:t>Slovensko vychádza z nesprávnych podkladov pre ochranu klímy a obnoviteľné zdroje</w:t>
      </w:r>
    </w:p>
    <w:p w14:paraId="48FD249C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</w:p>
    <w:p w14:paraId="327245F8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  <w:r w:rsidRPr="00F911A7">
        <w:rPr>
          <w:rFonts w:asciiTheme="majorHAnsi" w:eastAsia="Times New Roman" w:hAnsiTheme="majorHAnsi" w:cstheme="majorHAnsi"/>
          <w:lang w:val="sk-SK" w:eastAsia="cs-CZ"/>
        </w:rPr>
        <w:t>Národný energetický a klimatický plán Slovenska, ktorý má ponúknuť riešenia pre dosiahnutie klimatických cieľov do roku 2030, má značné nedostatky. </w:t>
      </w:r>
    </w:p>
    <w:p w14:paraId="64F31801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  <w:r w:rsidRPr="00F911A7">
        <w:rPr>
          <w:rFonts w:asciiTheme="majorHAnsi" w:eastAsia="Times New Roman" w:hAnsiTheme="majorHAnsi" w:cstheme="majorHAnsi"/>
          <w:lang w:val="sk-SK" w:eastAsia="cs-CZ"/>
        </w:rPr>
        <w:t>Dlhodobo na tento problém upozorňuje Slovenská klimatická iniciatíva a jej partneri SAPI a Budovy pre budúcnosť. Na pochybenia poukazuje vo svojom októbrovom hodnotení aj Európska komisia. Žiada o prepracovanie až desiatich chybných oblastí a dáva odporúčania, ako tieto chyby odstrániť a prepojiť s obnovou ekonomiky po pandémii.</w:t>
      </w:r>
    </w:p>
    <w:p w14:paraId="5CECC131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</w:p>
    <w:p w14:paraId="01BC650C" w14:textId="2DFFA395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 xml:space="preserve">„Aktuálny energetický a klimatický plán Slovenska sa v oblasti dekarbonizácie takmer celý točí okolo teplárenstva a obnoviteľné zdroje energie sú pritom odsunuté na druhú koľaj. Pritom Slovensko má práve najväčší problém s dosahovaním plánovaného podielu obnoviteľných zdrojov energie. Treba si tiež uvedomiť, že napríklad doprava, ktorej dekarbonizácia sa do veľkej miery opiera o batériovú alebo vodíkovú </w:t>
      </w:r>
      <w:proofErr w:type="spellStart"/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>elektromobilitu</w:t>
      </w:r>
      <w:proofErr w:type="spellEnd"/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 xml:space="preserve">, nutne potrebuje elektrinu vyrobenú z obnoviteľných zdrojov,” </w:t>
      </w: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povedal Ján Karaba zo Slovenskej asociácie </w:t>
      </w:r>
      <w:proofErr w:type="spellStart"/>
      <w:r w:rsidRPr="00F911A7">
        <w:rPr>
          <w:rFonts w:asciiTheme="majorHAnsi" w:eastAsia="Times New Roman" w:hAnsiTheme="majorHAnsi" w:cstheme="majorHAnsi"/>
          <w:lang w:val="sk-SK" w:eastAsia="cs-CZ"/>
        </w:rPr>
        <w:t>fotovoltického</w:t>
      </w:r>
      <w:proofErr w:type="spellEnd"/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 priemyslu a OZE (</w:t>
      </w:r>
      <w:hyperlink r:id="rId7" w:history="1">
        <w:r w:rsidRPr="00F911A7">
          <w:rPr>
            <w:rFonts w:asciiTheme="majorHAnsi" w:eastAsia="Times New Roman" w:hAnsiTheme="majorHAnsi" w:cstheme="majorHAnsi"/>
            <w:u w:val="single"/>
            <w:lang w:val="sk-SK" w:eastAsia="cs-CZ"/>
          </w:rPr>
          <w:t>SAPI</w:t>
        </w:r>
      </w:hyperlink>
      <w:r w:rsidRPr="00F911A7">
        <w:rPr>
          <w:rFonts w:asciiTheme="majorHAnsi" w:eastAsia="Times New Roman" w:hAnsiTheme="majorHAnsi" w:cstheme="majorHAnsi"/>
          <w:lang w:val="sk-SK" w:eastAsia="cs-CZ"/>
        </w:rPr>
        <w:t>).</w:t>
      </w:r>
    </w:p>
    <w:p w14:paraId="655C305D" w14:textId="77777777" w:rsidR="006F1008" w:rsidRPr="00C4415A" w:rsidRDefault="006F1008" w:rsidP="00061FD9">
      <w:pPr>
        <w:spacing w:after="24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</w:p>
    <w:p w14:paraId="2EBC1A98" w14:textId="2158C3CC" w:rsidR="00F911A7" w:rsidRPr="00F911A7" w:rsidRDefault="00F911A7" w:rsidP="00061FD9">
      <w:pPr>
        <w:spacing w:after="24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Ako kľúčové pre dosiahnutie našich národných aj európskych cieľov v oblasti zvyšovania energetickej efektivity boli identifikované </w:t>
      </w:r>
      <w:r w:rsidRPr="00F911A7">
        <w:rPr>
          <w:rFonts w:asciiTheme="majorHAnsi" w:eastAsia="Times New Roman" w:hAnsiTheme="majorHAnsi" w:cstheme="majorHAnsi"/>
          <w:b/>
          <w:bCs/>
          <w:lang w:val="sk-SK" w:eastAsia="cs-CZ"/>
        </w:rPr>
        <w:t>sektory priemyslu a budov</w:t>
      </w:r>
      <w:r w:rsidRPr="00F911A7">
        <w:rPr>
          <w:rFonts w:asciiTheme="majorHAnsi" w:eastAsia="Times New Roman" w:hAnsiTheme="majorHAnsi" w:cstheme="majorHAnsi"/>
          <w:lang w:val="sk-SK" w:eastAsia="cs-CZ"/>
        </w:rPr>
        <w:t>. </w:t>
      </w:r>
    </w:p>
    <w:p w14:paraId="01551768" w14:textId="15D517B5" w:rsidR="00F911A7" w:rsidRPr="00F911A7" w:rsidRDefault="00F911A7" w:rsidP="00061FD9">
      <w:pPr>
        <w:spacing w:after="24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 xml:space="preserve">“Pri sektore budov narážame na problém, keďže </w:t>
      </w:r>
      <w:hyperlink r:id="rId8" w:history="1">
        <w:r w:rsidRPr="00F911A7">
          <w:rPr>
            <w:rFonts w:asciiTheme="majorHAnsi" w:eastAsia="Times New Roman" w:hAnsiTheme="majorHAnsi" w:cstheme="majorHAnsi"/>
            <w:i/>
            <w:iCs/>
            <w:u w:val="single"/>
            <w:lang w:val="sk-SK" w:eastAsia="cs-CZ"/>
          </w:rPr>
          <w:t>Národný energetický a klimatický plán Slovenska nevychádza z Dlhodobej stratégie obnovy budov.</w:t>
        </w:r>
      </w:hyperlink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 xml:space="preserve"> Ministerstvo dopravy a výstavby SR  malo mať túto stratégiu hotovú v marci, ale dokončuje ju až teraz, koncom roka 2020. </w:t>
      </w:r>
      <w:r w:rsidR="00E969E6" w:rsidRPr="00E969E6">
        <w:rPr>
          <w:rFonts w:asciiTheme="majorHAnsi" w:eastAsia="Times New Roman" w:hAnsiTheme="majorHAnsi" w:cstheme="majorHAnsi"/>
          <w:i/>
          <w:iCs/>
          <w:lang w:val="sk-SK" w:eastAsia="cs-CZ"/>
        </w:rPr>
        <w:t>Tým pádom ciele úspor energie a zníženia emisií v sektore budov nie sú v Národnom energetickom a klimatickom pláne zahrnuté</w:t>
      </w:r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 xml:space="preserve">. Navyše to vytvára objektívne obavy, či budú obe kľúčové politiky vo vzájomnom súlade,” povedala Katarína </w:t>
      </w:r>
      <w:proofErr w:type="spellStart"/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>Nikodemová</w:t>
      </w:r>
      <w:proofErr w:type="spellEnd"/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 xml:space="preserve">, </w:t>
      </w:r>
      <w:hyperlink r:id="rId9" w:history="1">
        <w:r w:rsidRPr="00F911A7">
          <w:rPr>
            <w:rFonts w:asciiTheme="majorHAnsi" w:eastAsia="Times New Roman" w:hAnsiTheme="majorHAnsi" w:cstheme="majorHAnsi"/>
            <w:i/>
            <w:iCs/>
            <w:u w:val="single"/>
            <w:lang w:val="sk-SK" w:eastAsia="cs-CZ"/>
          </w:rPr>
          <w:t>Budovy pre budúcnosť</w:t>
        </w:r>
      </w:hyperlink>
      <w:r w:rsidRPr="00F911A7">
        <w:rPr>
          <w:rFonts w:asciiTheme="majorHAnsi" w:eastAsia="Times New Roman" w:hAnsiTheme="majorHAnsi" w:cstheme="majorHAnsi"/>
          <w:i/>
          <w:iCs/>
          <w:lang w:val="sk-SK" w:eastAsia="cs-CZ"/>
        </w:rPr>
        <w:t>.</w:t>
      </w:r>
    </w:p>
    <w:p w14:paraId="7D23EF55" w14:textId="2B8DA567" w:rsidR="00C1552B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lang w:val="sk-SK" w:eastAsia="cs-CZ"/>
        </w:rPr>
      </w:pP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Taktiež </w:t>
      </w:r>
      <w:r w:rsidRPr="00F911A7">
        <w:rPr>
          <w:rFonts w:asciiTheme="majorHAnsi" w:eastAsia="Times New Roman" w:hAnsiTheme="majorHAnsi" w:cstheme="majorHAnsi"/>
          <w:b/>
          <w:bCs/>
          <w:lang w:val="sk-SK" w:eastAsia="cs-CZ"/>
        </w:rPr>
        <w:t xml:space="preserve">výskum a inovácie v energetike </w:t>
      </w: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zostávajú bez jasnej stratégie a merateľných cieľov.  </w:t>
      </w:r>
      <w:r w:rsidR="00BB2B2C" w:rsidRPr="00C4415A">
        <w:rPr>
          <w:rFonts w:asciiTheme="majorHAnsi" w:eastAsia="Times New Roman" w:hAnsiTheme="majorHAnsi" w:cstheme="majorHAnsi"/>
          <w:lang w:val="sk-SK" w:eastAsia="cs-CZ"/>
        </w:rPr>
        <w:t>Ďalej v pláne c</w:t>
      </w: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hýbajú nevyhnutné kroky na postupné </w:t>
      </w:r>
      <w:r w:rsidRPr="00F911A7">
        <w:rPr>
          <w:rFonts w:asciiTheme="majorHAnsi" w:eastAsia="Times New Roman" w:hAnsiTheme="majorHAnsi" w:cstheme="majorHAnsi"/>
          <w:b/>
          <w:bCs/>
          <w:lang w:val="sk-SK" w:eastAsia="cs-CZ"/>
        </w:rPr>
        <w:t>ukončenie energetických dotácií, najmä v prípade fosílnych palív</w:t>
      </w: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. </w:t>
      </w:r>
      <w:r w:rsidR="00E4406A" w:rsidRPr="00C4415A">
        <w:rPr>
          <w:rFonts w:asciiTheme="majorHAnsi" w:eastAsia="Times New Roman" w:hAnsiTheme="majorHAnsi" w:cstheme="majorHAnsi"/>
          <w:lang w:val="sk-SK" w:eastAsia="cs-CZ"/>
        </w:rPr>
        <w:t>Nedostatočná je aj</w:t>
      </w: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 analýz</w:t>
      </w:r>
      <w:r w:rsidR="00E4406A" w:rsidRPr="00C4415A">
        <w:rPr>
          <w:rFonts w:asciiTheme="majorHAnsi" w:eastAsia="Times New Roman" w:hAnsiTheme="majorHAnsi" w:cstheme="majorHAnsi"/>
          <w:lang w:val="sk-SK" w:eastAsia="cs-CZ"/>
        </w:rPr>
        <w:t>a</w:t>
      </w: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 </w:t>
      </w:r>
      <w:r w:rsidRPr="00F911A7">
        <w:rPr>
          <w:rFonts w:asciiTheme="majorHAnsi" w:eastAsia="Times New Roman" w:hAnsiTheme="majorHAnsi" w:cstheme="majorHAnsi"/>
          <w:b/>
          <w:bCs/>
          <w:lang w:val="sk-SK" w:eastAsia="cs-CZ"/>
        </w:rPr>
        <w:t>spravodlivej transformácie uhoľných regiónov</w:t>
      </w: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.  </w:t>
      </w:r>
      <w:r w:rsidR="00E4406A" w:rsidRPr="00C4415A">
        <w:rPr>
          <w:rFonts w:asciiTheme="majorHAnsi" w:eastAsia="Times New Roman" w:hAnsiTheme="majorHAnsi" w:cstheme="majorHAnsi"/>
          <w:lang w:val="sk-SK" w:eastAsia="cs-CZ"/>
        </w:rPr>
        <w:t>Navyše</w:t>
      </w:r>
      <w:r w:rsidRPr="00F911A7">
        <w:rPr>
          <w:rFonts w:asciiTheme="majorHAnsi" w:eastAsia="Times New Roman" w:hAnsiTheme="majorHAnsi" w:cstheme="majorHAnsi"/>
          <w:lang w:val="sk-SK" w:eastAsia="cs-CZ"/>
        </w:rPr>
        <w:t xml:space="preserve">, plán neobsahuje žiadne politiky ani opatrenia zamerané konkrétne na boj proti </w:t>
      </w:r>
      <w:r w:rsidRPr="00F911A7">
        <w:rPr>
          <w:rFonts w:asciiTheme="majorHAnsi" w:eastAsia="Times New Roman" w:hAnsiTheme="majorHAnsi" w:cstheme="majorHAnsi"/>
          <w:b/>
          <w:bCs/>
          <w:lang w:val="sk-SK" w:eastAsia="cs-CZ"/>
        </w:rPr>
        <w:t>energetickej chudobe</w:t>
      </w:r>
      <w:r w:rsidRPr="00F911A7">
        <w:rPr>
          <w:rFonts w:asciiTheme="majorHAnsi" w:eastAsia="Times New Roman" w:hAnsiTheme="majorHAnsi" w:cstheme="majorHAnsi"/>
          <w:lang w:val="sk-SK" w:eastAsia="cs-CZ"/>
        </w:rPr>
        <w:t>.</w:t>
      </w:r>
    </w:p>
    <w:p w14:paraId="11301076" w14:textId="535DEA19" w:rsidR="00902512" w:rsidRPr="00C4415A" w:rsidRDefault="00902512" w:rsidP="00F02C7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sk-SK" w:eastAsia="cs-CZ"/>
        </w:rPr>
      </w:pPr>
    </w:p>
    <w:p w14:paraId="263BD533" w14:textId="59892FA5" w:rsidR="00F02C7E" w:rsidRPr="00061FD9" w:rsidRDefault="009C22EA" w:rsidP="005A6909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sk-SK" w:eastAsia="cs-CZ"/>
        </w:rPr>
      </w:pPr>
      <w:r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Revíziu</w:t>
      </w:r>
      <w:r w:rsidR="00D911AB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 </w:t>
      </w:r>
      <w:r w:rsidR="00D911AB" w:rsidRPr="00F911A7">
        <w:rPr>
          <w:rFonts w:asciiTheme="majorHAnsi" w:eastAsia="Times New Roman" w:hAnsiTheme="majorHAnsi" w:cstheme="majorHAnsi"/>
          <w:lang w:val="sk-SK" w:eastAsia="cs-CZ"/>
        </w:rPr>
        <w:t>Národn</w:t>
      </w:r>
      <w:r w:rsidRPr="00C4415A">
        <w:rPr>
          <w:rFonts w:asciiTheme="majorHAnsi" w:eastAsia="Times New Roman" w:hAnsiTheme="majorHAnsi" w:cstheme="majorHAnsi"/>
          <w:lang w:val="sk-SK" w:eastAsia="cs-CZ"/>
        </w:rPr>
        <w:t>ého</w:t>
      </w:r>
      <w:r w:rsidR="00D911AB" w:rsidRPr="00F911A7">
        <w:rPr>
          <w:rFonts w:asciiTheme="majorHAnsi" w:eastAsia="Times New Roman" w:hAnsiTheme="majorHAnsi" w:cstheme="majorHAnsi"/>
          <w:lang w:val="sk-SK" w:eastAsia="cs-CZ"/>
        </w:rPr>
        <w:t xml:space="preserve"> energetick</w:t>
      </w:r>
      <w:r w:rsidRPr="00C4415A">
        <w:rPr>
          <w:rFonts w:asciiTheme="majorHAnsi" w:eastAsia="Times New Roman" w:hAnsiTheme="majorHAnsi" w:cstheme="majorHAnsi"/>
          <w:lang w:val="sk-SK" w:eastAsia="cs-CZ"/>
        </w:rPr>
        <w:t>ého</w:t>
      </w:r>
      <w:r w:rsidR="00D911AB" w:rsidRPr="00F911A7">
        <w:rPr>
          <w:rFonts w:asciiTheme="majorHAnsi" w:eastAsia="Times New Roman" w:hAnsiTheme="majorHAnsi" w:cstheme="majorHAnsi"/>
          <w:lang w:val="sk-SK" w:eastAsia="cs-CZ"/>
        </w:rPr>
        <w:t xml:space="preserve"> a klimatick</w:t>
      </w:r>
      <w:r w:rsidRPr="00C4415A">
        <w:rPr>
          <w:rFonts w:asciiTheme="majorHAnsi" w:eastAsia="Times New Roman" w:hAnsiTheme="majorHAnsi" w:cstheme="majorHAnsi"/>
          <w:lang w:val="sk-SK" w:eastAsia="cs-CZ"/>
        </w:rPr>
        <w:t>ého</w:t>
      </w:r>
      <w:r w:rsidR="00D911AB" w:rsidRPr="00F911A7">
        <w:rPr>
          <w:rFonts w:asciiTheme="majorHAnsi" w:eastAsia="Times New Roman" w:hAnsiTheme="majorHAnsi" w:cstheme="majorHAnsi"/>
          <w:lang w:val="sk-SK" w:eastAsia="cs-CZ"/>
        </w:rPr>
        <w:t xml:space="preserve"> plán</w:t>
      </w:r>
      <w:r w:rsidRPr="00C4415A">
        <w:rPr>
          <w:rFonts w:asciiTheme="majorHAnsi" w:eastAsia="Times New Roman" w:hAnsiTheme="majorHAnsi" w:cstheme="majorHAnsi"/>
          <w:lang w:val="sk-SK" w:eastAsia="cs-CZ"/>
        </w:rPr>
        <w:t>u</w:t>
      </w:r>
      <w:r w:rsidR="00D911AB" w:rsidRPr="00F911A7">
        <w:rPr>
          <w:rFonts w:asciiTheme="majorHAnsi" w:eastAsia="Times New Roman" w:hAnsiTheme="majorHAnsi" w:cstheme="majorHAnsi"/>
          <w:lang w:val="sk-SK" w:eastAsia="cs-CZ"/>
        </w:rPr>
        <w:t xml:space="preserve"> Slovenska</w:t>
      </w:r>
      <w:r w:rsidR="00EA1A22" w:rsidRPr="00C4415A">
        <w:rPr>
          <w:rFonts w:asciiTheme="majorHAnsi" w:eastAsia="Times New Roman" w:hAnsiTheme="majorHAnsi" w:cstheme="majorHAnsi"/>
          <w:lang w:val="sk-SK" w:eastAsia="cs-CZ"/>
        </w:rPr>
        <w:t xml:space="preserve"> </w:t>
      </w:r>
      <w:r w:rsidRPr="00C4415A">
        <w:rPr>
          <w:rFonts w:asciiTheme="majorHAnsi" w:eastAsia="Times New Roman" w:hAnsiTheme="majorHAnsi" w:cstheme="majorHAnsi"/>
          <w:lang w:val="sk-SK" w:eastAsia="cs-CZ"/>
        </w:rPr>
        <w:t>sľubuje aj programové vyhlásenie vlády na roky 202</w:t>
      </w:r>
      <w:r w:rsidR="008418FF" w:rsidRPr="00C4415A">
        <w:rPr>
          <w:rFonts w:asciiTheme="majorHAnsi" w:eastAsia="Times New Roman" w:hAnsiTheme="majorHAnsi" w:cstheme="majorHAnsi"/>
          <w:lang w:val="sk-SK" w:eastAsia="cs-CZ"/>
        </w:rPr>
        <w:t>0</w:t>
      </w:r>
      <w:r w:rsidRPr="00C4415A">
        <w:rPr>
          <w:rFonts w:asciiTheme="majorHAnsi" w:eastAsia="Times New Roman" w:hAnsiTheme="majorHAnsi" w:cstheme="majorHAnsi"/>
          <w:lang w:val="sk-SK" w:eastAsia="cs-CZ"/>
        </w:rPr>
        <w:t>-202</w:t>
      </w:r>
      <w:r w:rsidR="008418FF" w:rsidRPr="00C4415A">
        <w:rPr>
          <w:rFonts w:asciiTheme="majorHAnsi" w:eastAsia="Times New Roman" w:hAnsiTheme="majorHAnsi" w:cstheme="majorHAnsi"/>
          <w:lang w:val="sk-SK" w:eastAsia="cs-CZ"/>
        </w:rPr>
        <w:t xml:space="preserve">4, zatiaľ sa však k tomu vláda konkrétne nevyjadruje. Oprava </w:t>
      </w:r>
      <w:r w:rsidR="00FF5C7A" w:rsidRPr="00C4415A">
        <w:rPr>
          <w:rFonts w:asciiTheme="majorHAnsi" w:eastAsia="Times New Roman" w:hAnsiTheme="majorHAnsi" w:cstheme="majorHAnsi"/>
          <w:lang w:val="sk-SK" w:eastAsia="cs-CZ"/>
        </w:rPr>
        <w:t>týchto chýb a nedostatkov</w:t>
      </w:r>
      <w:r w:rsidR="00D911AB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 </w:t>
      </w:r>
      <w:r w:rsidR="00AD3607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je </w:t>
      </w:r>
      <w:r w:rsidR="00FF5C7A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p</w:t>
      </w:r>
      <w:r w:rsidR="00C4415A">
        <w:rPr>
          <w:rFonts w:asciiTheme="majorHAnsi" w:eastAsia="Times New Roman" w:hAnsiTheme="majorHAnsi" w:cstheme="majorHAnsi"/>
          <w:color w:val="000000"/>
          <w:lang w:val="sk-SK" w:eastAsia="cs-CZ"/>
        </w:rPr>
        <w:t>r</w:t>
      </w:r>
      <w:r w:rsidR="00FF5C7A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itom </w:t>
      </w:r>
      <w:r w:rsidR="00AD3607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kľúčová pre ochranu klímy</w:t>
      </w:r>
      <w:r w:rsidR="00FF5C7A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,</w:t>
      </w:r>
      <w:r w:rsidR="00E4406A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 </w:t>
      </w:r>
      <w:r w:rsidR="00C4415A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nastavenie klimatickej politiky Slovenska, </w:t>
      </w:r>
      <w:r w:rsidR="00E4406A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ale aj zvýšenie našej životnej úrovne</w:t>
      </w:r>
      <w:r w:rsidR="00AD3607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. Bez správnych podkladov n</w:t>
      </w:r>
      <w:r w:rsidR="0019094B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ebudeme mať ani správne </w:t>
      </w:r>
      <w:r w:rsidR="00424E6C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modely pre dosiahnutie </w:t>
      </w:r>
      <w:r w:rsidR="00F02C7E" w:rsidRPr="00061FD9">
        <w:rPr>
          <w:rFonts w:asciiTheme="majorHAnsi" w:eastAsia="Times New Roman" w:hAnsiTheme="majorHAnsi" w:cstheme="majorHAnsi"/>
          <w:color w:val="000000"/>
          <w:lang w:val="sk-SK" w:eastAsia="cs-CZ"/>
        </w:rPr>
        <w:t>klimatick</w:t>
      </w:r>
      <w:r w:rsidR="0019094B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ých</w:t>
      </w:r>
      <w:r w:rsidR="00F02C7E" w:rsidRPr="00061FD9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 </w:t>
      </w:r>
      <w:r w:rsidR="00885683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cieľov</w:t>
      </w:r>
      <w:r w:rsidR="00727BEE">
        <w:rPr>
          <w:rFonts w:asciiTheme="majorHAnsi" w:eastAsia="Times New Roman" w:hAnsiTheme="majorHAnsi" w:cstheme="majorHAnsi"/>
          <w:color w:val="000000"/>
          <w:lang w:val="sk-SK" w:eastAsia="cs-CZ"/>
        </w:rPr>
        <w:t>. U</w:t>
      </w:r>
      <w:r w:rsidR="004E5223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niknú nám tak mnohé príležitosti</w:t>
      </w:r>
      <w:r w:rsidR="00727BEE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 a</w:t>
      </w:r>
      <w:r w:rsidR="0041666F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 vyše </w:t>
      </w:r>
      <w:r w:rsidR="00D67E87">
        <w:rPr>
          <w:rFonts w:asciiTheme="majorHAnsi" w:eastAsia="Times New Roman" w:hAnsiTheme="majorHAnsi" w:cstheme="majorHAnsi"/>
          <w:color w:val="000000"/>
          <w:lang w:val="sk-SK" w:eastAsia="cs-CZ"/>
        </w:rPr>
        <w:t>126</w:t>
      </w:r>
      <w:r w:rsidR="0041666F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 000 </w:t>
      </w:r>
      <w:r w:rsidR="00006119">
        <w:rPr>
          <w:rFonts w:asciiTheme="majorHAnsi" w:eastAsia="Times New Roman" w:hAnsiTheme="majorHAnsi" w:cstheme="majorHAnsi"/>
          <w:color w:val="000000"/>
          <w:lang w:val="sk-SK" w:eastAsia="cs-CZ"/>
        </w:rPr>
        <w:t>ľud</w:t>
      </w:r>
      <w:r w:rsidR="0041666F">
        <w:rPr>
          <w:rFonts w:asciiTheme="majorHAnsi" w:eastAsia="Times New Roman" w:hAnsiTheme="majorHAnsi" w:cstheme="majorHAnsi"/>
          <w:color w:val="000000"/>
          <w:lang w:val="sk-SK" w:eastAsia="cs-CZ"/>
        </w:rPr>
        <w:t>í</w:t>
      </w:r>
      <w:r w:rsidR="00862A56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 na Slovensku</w:t>
      </w:r>
      <w:r w:rsidR="00006119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, ktorí </w:t>
      </w:r>
      <w:r w:rsidR="0041666F">
        <w:rPr>
          <w:rFonts w:asciiTheme="majorHAnsi" w:eastAsia="Times New Roman" w:hAnsiTheme="majorHAnsi" w:cstheme="majorHAnsi"/>
          <w:color w:val="000000"/>
          <w:lang w:val="sk-SK" w:eastAsia="cs-CZ"/>
        </w:rPr>
        <w:t>žiadajú väčšiu ochranu klímy</w:t>
      </w:r>
      <w:r w:rsidR="00862A56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 cez petíciu </w:t>
      </w:r>
      <w:hyperlink r:id="rId10" w:history="1">
        <w:r w:rsidR="00862A56" w:rsidRPr="00862A56">
          <w:rPr>
            <w:rStyle w:val="Hypertextovprepojenie"/>
            <w:rFonts w:asciiTheme="majorHAnsi" w:eastAsia="Times New Roman" w:hAnsiTheme="majorHAnsi" w:cstheme="majorHAnsi"/>
            <w:lang w:val="sk-SK" w:eastAsia="cs-CZ"/>
          </w:rPr>
          <w:t>„Klíma ťa potrebuje"</w:t>
        </w:r>
      </w:hyperlink>
      <w:r w:rsidR="00862A56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, </w:t>
      </w:r>
      <w:r w:rsidR="0041666F">
        <w:rPr>
          <w:rFonts w:asciiTheme="majorHAnsi" w:eastAsia="Times New Roman" w:hAnsiTheme="majorHAnsi" w:cstheme="majorHAnsi"/>
          <w:color w:val="000000"/>
          <w:lang w:val="sk-SK" w:eastAsia="cs-CZ"/>
        </w:rPr>
        <w:t>zostan</w:t>
      </w:r>
      <w:r w:rsidR="00D67E87">
        <w:rPr>
          <w:rFonts w:asciiTheme="majorHAnsi" w:eastAsia="Times New Roman" w:hAnsiTheme="majorHAnsi" w:cstheme="majorHAnsi"/>
          <w:color w:val="000000"/>
          <w:lang w:val="sk-SK" w:eastAsia="cs-CZ"/>
        </w:rPr>
        <w:t>e</w:t>
      </w:r>
      <w:r w:rsidR="0041666F">
        <w:rPr>
          <w:rFonts w:asciiTheme="majorHAnsi" w:eastAsia="Times New Roman" w:hAnsiTheme="majorHAnsi" w:cstheme="majorHAnsi"/>
          <w:color w:val="000000"/>
          <w:lang w:val="sk-SK" w:eastAsia="cs-CZ"/>
        </w:rPr>
        <w:t xml:space="preserve"> nevypočut</w:t>
      </w:r>
      <w:r w:rsidR="00D67E87">
        <w:rPr>
          <w:rFonts w:asciiTheme="majorHAnsi" w:eastAsia="Times New Roman" w:hAnsiTheme="majorHAnsi" w:cstheme="majorHAnsi"/>
          <w:color w:val="000000"/>
          <w:lang w:val="sk-SK" w:eastAsia="cs-CZ"/>
        </w:rPr>
        <w:t>ých</w:t>
      </w:r>
      <w:r w:rsidR="00391CCE" w:rsidRPr="00C4415A">
        <w:rPr>
          <w:rFonts w:asciiTheme="majorHAnsi" w:eastAsia="Times New Roman" w:hAnsiTheme="majorHAnsi" w:cstheme="majorHAnsi"/>
          <w:color w:val="000000"/>
          <w:lang w:val="sk-SK" w:eastAsia="cs-CZ"/>
        </w:rPr>
        <w:t>.</w:t>
      </w:r>
    </w:p>
    <w:p w14:paraId="131FD2AC" w14:textId="77777777" w:rsidR="00730679" w:rsidRPr="00C4415A" w:rsidRDefault="00730679" w:rsidP="00FF29D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val="sk-SK" w:eastAsia="cs-CZ"/>
        </w:rPr>
      </w:pPr>
    </w:p>
    <w:p w14:paraId="433BC1C3" w14:textId="2310E410" w:rsidR="00FF29DC" w:rsidRPr="00061FD9" w:rsidRDefault="00FF29DC" w:rsidP="00FF29DC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</w:pPr>
      <w:r w:rsidRPr="00061FD9">
        <w:rPr>
          <w:rFonts w:asciiTheme="majorHAnsi" w:eastAsia="Times New Roman" w:hAnsiTheme="majorHAnsi" w:cstheme="majorHAnsi"/>
          <w:color w:val="000000"/>
          <w:sz w:val="16"/>
          <w:szCs w:val="16"/>
          <w:lang w:val="sk-SK" w:eastAsia="cs-CZ"/>
        </w:rPr>
        <w:t>Zdroje:</w:t>
      </w:r>
    </w:p>
    <w:p w14:paraId="668535AC" w14:textId="77777777" w:rsidR="00FF29DC" w:rsidRPr="00061FD9" w:rsidRDefault="00D67E87" w:rsidP="00FF29DC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</w:pPr>
      <w:hyperlink r:id="rId11" w:history="1">
        <w:r w:rsidR="00FF29DC" w:rsidRPr="00061FD9">
          <w:rPr>
            <w:rFonts w:asciiTheme="majorHAnsi" w:eastAsia="Times New Roman" w:hAnsiTheme="majorHAnsi" w:cstheme="majorHAnsi"/>
            <w:color w:val="1155CC"/>
            <w:sz w:val="16"/>
            <w:szCs w:val="16"/>
            <w:u w:val="single"/>
            <w:lang w:val="sk-SK" w:eastAsia="cs-CZ"/>
          </w:rPr>
          <w:t>https://ec.europa.eu/energy/content/individual-assessments-and-summaries_en</w:t>
        </w:r>
      </w:hyperlink>
    </w:p>
    <w:p w14:paraId="1F68ED8A" w14:textId="649E74EF" w:rsidR="00FF29DC" w:rsidRPr="00C4415A" w:rsidRDefault="00D67E87" w:rsidP="00FF29DC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</w:pPr>
      <w:hyperlink r:id="rId12" w:history="1">
        <w:r w:rsidR="00FF29DC" w:rsidRPr="00061FD9">
          <w:rPr>
            <w:rFonts w:asciiTheme="majorHAnsi" w:eastAsia="Times New Roman" w:hAnsiTheme="majorHAnsi" w:cstheme="majorHAnsi"/>
            <w:color w:val="1155CC"/>
            <w:sz w:val="16"/>
            <w:szCs w:val="16"/>
            <w:u w:val="single"/>
            <w:lang w:val="sk-SK" w:eastAsia="cs-CZ"/>
          </w:rPr>
          <w:t>https://euractiv.sk/section/energeticka-ucinnost/opinion/sedem-veci-ktore-chybaju-v-slovenskom-energetickom-a-klimatickom-plane/</w:t>
        </w:r>
      </w:hyperlink>
    </w:p>
    <w:p w14:paraId="2DF8DF39" w14:textId="507B2369" w:rsidR="00190765" w:rsidRPr="00C4415A" w:rsidRDefault="00D67E87" w:rsidP="00FF29DC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</w:pPr>
      <w:hyperlink r:id="rId13" w:history="1">
        <w:r w:rsidR="00190765" w:rsidRPr="00C4415A">
          <w:rPr>
            <w:rStyle w:val="Hypertextovprepojenie"/>
            <w:rFonts w:asciiTheme="majorHAnsi" w:eastAsia="Times New Roman" w:hAnsiTheme="majorHAnsi" w:cstheme="majorHAnsi"/>
            <w:sz w:val="16"/>
            <w:szCs w:val="16"/>
            <w:lang w:val="sk-SK" w:eastAsia="cs-CZ"/>
          </w:rPr>
          <w:t>https://www.sapi.sk/clanok/analyza-sapi-necp-potrebuje-reviziu</w:t>
        </w:r>
      </w:hyperlink>
    </w:p>
    <w:p w14:paraId="1F0A4964" w14:textId="1F57A8E8" w:rsidR="00A333A5" w:rsidRPr="00C4415A" w:rsidRDefault="00D67E87" w:rsidP="00FF29DC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</w:pPr>
      <w:hyperlink r:id="rId14" w:history="1">
        <w:r w:rsidR="00A333A5" w:rsidRPr="00C4415A">
          <w:rPr>
            <w:rStyle w:val="Hypertextovprepojenie"/>
            <w:rFonts w:asciiTheme="majorHAnsi" w:eastAsia="Times New Roman" w:hAnsiTheme="majorHAnsi" w:cstheme="majorHAnsi"/>
            <w:sz w:val="16"/>
            <w:szCs w:val="16"/>
            <w:lang w:val="sk-SK" w:eastAsia="cs-CZ"/>
          </w:rPr>
          <w:t>https://www.sapi.sk/files/165_necp-analyza.pdf</w:t>
        </w:r>
      </w:hyperlink>
    </w:p>
    <w:p w14:paraId="5FD7F577" w14:textId="0609932D" w:rsidR="007C6A0D" w:rsidRPr="00C4415A" w:rsidRDefault="00D67E87" w:rsidP="00FF29DC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</w:pPr>
      <w:hyperlink r:id="rId15" w:history="1">
        <w:r w:rsidR="007C6A0D" w:rsidRPr="00C4415A">
          <w:rPr>
            <w:rStyle w:val="Hypertextovprepojenie"/>
            <w:rFonts w:asciiTheme="majorHAnsi" w:eastAsia="Times New Roman" w:hAnsiTheme="majorHAnsi" w:cstheme="majorHAnsi"/>
            <w:sz w:val="16"/>
            <w:szCs w:val="16"/>
            <w:lang w:val="sk-SK" w:eastAsia="cs-CZ"/>
          </w:rPr>
          <w:t>https://www.klimatapotrebuje.sk/</w:t>
        </w:r>
      </w:hyperlink>
    </w:p>
    <w:p w14:paraId="385FDBAC" w14:textId="77777777" w:rsidR="00A333A5" w:rsidRPr="00C4415A" w:rsidRDefault="00A333A5" w:rsidP="00FF29DC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</w:pPr>
    </w:p>
    <w:p w14:paraId="604A2A38" w14:textId="439A2835" w:rsidR="00FF29DC" w:rsidRPr="004176C0" w:rsidRDefault="00B353BA">
      <w:pPr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</w:pPr>
      <w:r w:rsidRPr="004176C0">
        <w:rPr>
          <w:rFonts w:asciiTheme="majorHAnsi" w:eastAsia="Times New Roman" w:hAnsiTheme="majorHAnsi" w:cstheme="majorHAnsi"/>
          <w:sz w:val="16"/>
          <w:szCs w:val="16"/>
          <w:lang w:val="sk-SK" w:eastAsia="cs-CZ"/>
        </w:rPr>
        <w:t xml:space="preserve">Kontakt: </w:t>
      </w:r>
    </w:p>
    <w:p w14:paraId="038F3E02" w14:textId="77777777" w:rsidR="00834B03" w:rsidRPr="004176C0" w:rsidRDefault="00834B03" w:rsidP="00834B0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val="sk-SK" w:eastAsia="cs-CZ"/>
        </w:rPr>
      </w:pPr>
      <w:r w:rsidRPr="004176C0">
        <w:rPr>
          <w:rFonts w:asciiTheme="majorHAnsi" w:eastAsia="Times New Roman" w:hAnsiTheme="majorHAnsi" w:cstheme="majorHAnsi"/>
          <w:color w:val="073763"/>
          <w:sz w:val="16"/>
          <w:szCs w:val="16"/>
          <w:lang w:val="sk-SK" w:eastAsia="cs-CZ"/>
        </w:rPr>
        <w:t>Liliana Rástocká</w:t>
      </w:r>
    </w:p>
    <w:p w14:paraId="2B812543" w14:textId="4F5E03B7" w:rsidR="00834B03" w:rsidRPr="004176C0" w:rsidRDefault="004176C0" w:rsidP="00834B0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val="sk-SK" w:eastAsia="cs-CZ"/>
        </w:rPr>
      </w:pPr>
      <w:r w:rsidRPr="004176C0">
        <w:rPr>
          <w:rFonts w:asciiTheme="majorHAnsi" w:eastAsia="Times New Roman" w:hAnsiTheme="majorHAnsi" w:cstheme="majorHAnsi"/>
          <w:color w:val="073763"/>
          <w:sz w:val="16"/>
          <w:szCs w:val="16"/>
          <w:lang w:val="sk-SK" w:eastAsia="cs-CZ"/>
        </w:rPr>
        <w:t>K</w:t>
      </w:r>
      <w:r w:rsidR="00834B03" w:rsidRPr="004176C0">
        <w:rPr>
          <w:rFonts w:asciiTheme="majorHAnsi" w:eastAsia="Times New Roman" w:hAnsiTheme="majorHAnsi" w:cstheme="majorHAnsi"/>
          <w:color w:val="073763"/>
          <w:sz w:val="16"/>
          <w:szCs w:val="16"/>
          <w:lang w:val="sk-SK" w:eastAsia="cs-CZ"/>
        </w:rPr>
        <w:t>oordinátorka</w:t>
      </w:r>
      <w:r w:rsidRPr="004176C0">
        <w:rPr>
          <w:rFonts w:asciiTheme="majorHAnsi" w:eastAsia="Times New Roman" w:hAnsiTheme="majorHAnsi" w:cstheme="majorHAnsi"/>
          <w:color w:val="222222"/>
          <w:sz w:val="16"/>
          <w:szCs w:val="16"/>
          <w:lang w:val="sk-SK" w:eastAsia="cs-CZ"/>
        </w:rPr>
        <w:t xml:space="preserve">, </w:t>
      </w:r>
      <w:r w:rsidR="00834B03" w:rsidRPr="004176C0">
        <w:rPr>
          <w:rFonts w:asciiTheme="majorHAnsi" w:eastAsia="Times New Roman" w:hAnsiTheme="majorHAnsi" w:cstheme="majorHAnsi"/>
          <w:color w:val="073763"/>
          <w:sz w:val="16"/>
          <w:szCs w:val="16"/>
          <w:lang w:val="sk-SK" w:eastAsia="cs-CZ"/>
        </w:rPr>
        <w:t>Slovenská klimatická iniciatíva</w:t>
      </w:r>
    </w:p>
    <w:p w14:paraId="147F4539" w14:textId="77777777" w:rsidR="00834B03" w:rsidRPr="004176C0" w:rsidRDefault="00834B03" w:rsidP="00834B0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val="sk-SK" w:eastAsia="cs-CZ"/>
        </w:rPr>
      </w:pPr>
      <w:r w:rsidRPr="004176C0">
        <w:rPr>
          <w:rFonts w:asciiTheme="majorHAnsi" w:eastAsia="Times New Roman" w:hAnsiTheme="majorHAnsi" w:cstheme="majorHAnsi"/>
          <w:color w:val="073763"/>
          <w:sz w:val="16"/>
          <w:szCs w:val="16"/>
          <w:lang w:val="sk-SK" w:eastAsia="cs-CZ"/>
        </w:rPr>
        <w:t>+421 904 798 870  </w:t>
      </w:r>
    </w:p>
    <w:p w14:paraId="718F52ED" w14:textId="77777777" w:rsidR="00834B03" w:rsidRPr="004176C0" w:rsidRDefault="00D67E87" w:rsidP="00834B0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6"/>
          <w:szCs w:val="16"/>
          <w:lang w:val="sk-SK" w:eastAsia="cs-CZ"/>
        </w:rPr>
      </w:pPr>
      <w:hyperlink r:id="rId16" w:tgtFrame="_blank" w:history="1">
        <w:r w:rsidR="00834B03" w:rsidRPr="004176C0">
          <w:rPr>
            <w:rFonts w:asciiTheme="majorHAnsi" w:eastAsia="Times New Roman" w:hAnsiTheme="majorHAnsi" w:cstheme="majorHAnsi"/>
            <w:color w:val="1155CC"/>
            <w:sz w:val="16"/>
            <w:szCs w:val="16"/>
            <w:u w:val="single"/>
            <w:lang w:val="sk-SK" w:eastAsia="cs-CZ"/>
          </w:rPr>
          <w:t>klimatickainiciativa.sk</w:t>
        </w:r>
      </w:hyperlink>
      <w:r w:rsidR="00834B03" w:rsidRPr="004176C0">
        <w:rPr>
          <w:rFonts w:asciiTheme="majorHAnsi" w:eastAsia="Times New Roman" w:hAnsiTheme="majorHAnsi" w:cstheme="majorHAnsi"/>
          <w:color w:val="073763"/>
          <w:sz w:val="16"/>
          <w:szCs w:val="16"/>
          <w:lang w:val="sk-SK" w:eastAsia="cs-CZ"/>
        </w:rPr>
        <w:t> </w:t>
      </w:r>
    </w:p>
    <w:p w14:paraId="7C618A1D" w14:textId="176D89BF" w:rsidR="00F911A7" w:rsidRPr="00F911A7" w:rsidRDefault="00F911A7" w:rsidP="00061FD9">
      <w:pPr>
        <w:spacing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val="sk-SK" w:eastAsia="cs-CZ"/>
        </w:rPr>
        <w:lastRenderedPageBreak/>
        <w:t>Otázky a odpovede:</w:t>
      </w:r>
    </w:p>
    <w:p w14:paraId="25900FE3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Čo je Národný energetický a klimatický plán Slovenska (NECP)?</w:t>
      </w:r>
    </w:p>
    <w:p w14:paraId="22BE4C70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Legislatíva EÚ vyžaduje, aby každý členský štát prijal 10-ročný Národný energetický a klimatický plán (NECP) s cieľom zmapovať, ako štáty dosiahnu záväzné klimatické a energetické ciele do roku 2030. </w:t>
      </w:r>
    </w:p>
    <w:p w14:paraId="79871769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</w:p>
    <w:p w14:paraId="4E9A1639" w14:textId="4132F893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Kto je zodpovedný za chyby aj opravu</w:t>
      </w:r>
      <w:r w:rsidR="007A76B2" w:rsidRPr="00C4415A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 xml:space="preserve"> plánu</w:t>
      </w: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?</w:t>
      </w:r>
    </w:p>
    <w:p w14:paraId="57B98ED3" w14:textId="19C19E5B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 xml:space="preserve">Plán spracovalo Ministerstvo hospodárstva SK v roku 2019 pod vedením ministra </w:t>
      </w:r>
      <w:proofErr w:type="spellStart"/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Žigu</w:t>
      </w:r>
      <w:proofErr w:type="spellEnd"/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 xml:space="preserve"> v spolupráci s Ministerstvom životného prostredia. Čierneho Petra teraz má v rukách podpredseda vlády a minister hospodárstva Richard Sulík. V Programovom vyhlásení vlády 2020-2024 nová vláda sľubuje nápravu. </w:t>
      </w:r>
    </w:p>
    <w:p w14:paraId="6652B5C9" w14:textId="0B4C0E4E" w:rsidR="00F911A7" w:rsidRPr="00F911A7" w:rsidRDefault="00F911A7" w:rsidP="00BB34B2">
      <w:pPr>
        <w:spacing w:after="24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br/>
      </w: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Čo v pláne chýba?</w:t>
      </w:r>
    </w:p>
    <w:p w14:paraId="0E14D330" w14:textId="77777777" w:rsidR="00F911A7" w:rsidRPr="00F911A7" w:rsidRDefault="00F911A7" w:rsidP="00BB34B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Opatrenia na podporu energetickej efektívnosti budov</w:t>
      </w:r>
    </w:p>
    <w:p w14:paraId="4FF692E2" w14:textId="77777777" w:rsidR="00F911A7" w:rsidRPr="00F911A7" w:rsidRDefault="00F911A7" w:rsidP="00BB34B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Opatrenia na podporu rozvoja obnoviteľnej energie, investícií do energetickej infraštruktúry a urýchlenie vykonávania akčného plánu pre transformácia Hornej Nitry a ďalších transformujúcich sa regiónov;</w:t>
      </w:r>
    </w:p>
    <w:p w14:paraId="416DB5A7" w14:textId="77777777" w:rsidR="00F911A7" w:rsidRPr="00F911A7" w:rsidRDefault="00F911A7" w:rsidP="00BB34B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Opatrenia modernizujúce systém dopravy, a to aj podporou investícií do udržateľnej mobility infraštruktúry a mestskej dopravy.</w:t>
      </w:r>
    </w:p>
    <w:p w14:paraId="28DEA16F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</w:p>
    <w:p w14:paraId="7FE3EA06" w14:textId="77777777" w:rsidR="00F911A7" w:rsidRPr="00F911A7" w:rsidRDefault="00F911A7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V čom sú konkrétne chyby podľa Európskej komisie?</w:t>
      </w:r>
    </w:p>
    <w:p w14:paraId="6595EC0D" w14:textId="77777777" w:rsidR="00F911A7" w:rsidRPr="00F911A7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Obnoviteľné zdroje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 Slovensko zvýšilo svoj cieľ do roku 2030 na 19,2%, čo je stále menej ako požadovaných 24%. CHYBA vo výpočte (?)</w:t>
      </w:r>
    </w:p>
    <w:p w14:paraId="438DA2F0" w14:textId="77777777" w:rsidR="00F911A7" w:rsidRPr="00F911A7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Energetická efektívnosť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 nekvantifikuje všetky dopady opatrení a len čiastočne  sa zaoberá odporúčaním zvýšiť mieru ambícií.</w:t>
      </w:r>
    </w:p>
    <w:p w14:paraId="2BB0A077" w14:textId="77777777" w:rsidR="00F911A7" w:rsidRPr="00F911A7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Energetická bezpečnosť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 len čiastočné opatrenia podporujúce ciele energetickej bezpečnosti týkajúce sa diverzifikácie a znižovania energetickej závislosti.</w:t>
      </w:r>
    </w:p>
    <w:p w14:paraId="3208AF73" w14:textId="77777777" w:rsidR="00F911A7" w:rsidRPr="00F911A7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Vnútorný trh s energiou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 nedefinované opatrenia,  jasné a konkrétne kroky na dosiahnutie cieľov týkajúcich sa integrácie trhu, zdrojov flexibility a inteligentných meračov. </w:t>
      </w:r>
    </w:p>
    <w:p w14:paraId="123FADCA" w14:textId="77777777" w:rsidR="00F911A7" w:rsidRPr="00F911A7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Výskum, inovácie a konkurencieschopnosť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 chýbajú merateľné ciele a sprievodné politiky. </w:t>
      </w:r>
    </w:p>
    <w:p w14:paraId="2FFADE26" w14:textId="77777777" w:rsidR="00F911A7" w:rsidRPr="00F911A7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Ukončenia energetických dotácií, najmä v prípade fosílnych palív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 Plán obsahuje len rozsiahly zoznam dotácií. Informácie o krokoch a plánoch na ich postupné ukončenie však chýbajú.</w:t>
      </w:r>
    </w:p>
    <w:p w14:paraId="46292162" w14:textId="77777777" w:rsidR="00F911A7" w:rsidRPr="00F911A7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Kvalita ovzdušia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  je nutné doplnenie analýzy interakcií s politikou kvality ovzdušia a emisiami o ďalšie kvantitatívne informácie. </w:t>
      </w:r>
    </w:p>
    <w:p w14:paraId="32F294AE" w14:textId="77777777" w:rsidR="00F911A7" w:rsidRPr="00F911A7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Spravodlivá transformácia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 celkovo zostáva analýza povrchná</w:t>
      </w:r>
    </w:p>
    <w:p w14:paraId="1F3E9627" w14:textId="7E3E3470" w:rsidR="00F911A7" w:rsidRPr="00C4415A" w:rsidRDefault="00F911A7" w:rsidP="00061FD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F911A7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Energetická chudoba</w:t>
      </w:r>
      <w:r w:rsidRPr="00F911A7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: Slovensko neuvádza počet postihnutých domácností, ale uvádza počet domácností považovaných za ohrozené chudobou. Slovensko do plánu nezahrnulo žiadne politiky ani opatrenia zamerané konkrétne na boj proti energetickej chudobe.</w:t>
      </w:r>
    </w:p>
    <w:p w14:paraId="2A8C17C7" w14:textId="3E0642F7" w:rsidR="00061FD9" w:rsidRPr="00C4415A" w:rsidRDefault="00061FD9" w:rsidP="00061FD9">
      <w:p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</w:pPr>
    </w:p>
    <w:p w14:paraId="5F6249AF" w14:textId="77777777" w:rsidR="00061FD9" w:rsidRPr="00061FD9" w:rsidRDefault="00061FD9" w:rsidP="00061FD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sk-SK" w:eastAsia="cs-CZ"/>
        </w:rPr>
        <w:t>Na čo nad rámec poukazuje Slovenská klimatická iniciatíva?</w:t>
      </w:r>
    </w:p>
    <w:p w14:paraId="58B1A899" w14:textId="77777777" w:rsidR="00061FD9" w:rsidRPr="00061FD9" w:rsidRDefault="00061FD9" w:rsidP="00061FD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 xml:space="preserve">Odhady k dosiahnutiu energetickej efektívnosti budov v Národnom energetickom a klimatickom pláne nie sú podložené výpočtami, nakoľko </w:t>
      </w:r>
      <w:hyperlink r:id="rId17" w:history="1">
        <w:r w:rsidRPr="00061FD9">
          <w:rPr>
            <w:rFonts w:asciiTheme="majorHAnsi" w:eastAsia="Times New Roman" w:hAnsiTheme="majorHAnsi" w:cstheme="majorHAnsi"/>
            <w:color w:val="1155CC"/>
            <w:sz w:val="20"/>
            <w:szCs w:val="20"/>
            <w:u w:val="single"/>
            <w:lang w:val="sk-SK" w:eastAsia="cs-CZ"/>
          </w:rPr>
          <w:t>Dlhodobá stratégia obnovy budov</w:t>
        </w:r>
      </w:hyperlink>
      <w:r w:rsidRPr="00061FD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 xml:space="preserve"> ešte nie je k dispozícii</w:t>
      </w:r>
    </w:p>
    <w:p w14:paraId="329DD03F" w14:textId="77777777" w:rsidR="00061FD9" w:rsidRPr="00061FD9" w:rsidRDefault="00061FD9" w:rsidP="00061FD9">
      <w:pPr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 xml:space="preserve">NECP neuvádza model predikcie hrubej konečnej spotreby energie v jednotlivých sektoroch a odôvodnenie jej trajektórie do roku 2030. Zo spätných prepočtov je pritom zrejmé, že východiskové hodnoty pre rok 2020 nie sú stanovené správne, lebo nekorešpondujú s dostupnými údajmi z </w:t>
      </w:r>
      <w:proofErr w:type="spellStart"/>
      <w:r w:rsidRPr="00061FD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>Eurostatu</w:t>
      </w:r>
      <w:proofErr w:type="spellEnd"/>
      <w:r w:rsidRPr="00061FD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>, resp. národných zdrojov.</w:t>
      </w:r>
    </w:p>
    <w:p w14:paraId="6B4AD27B" w14:textId="77777777" w:rsidR="00061FD9" w:rsidRPr="00061FD9" w:rsidRDefault="00061FD9" w:rsidP="00061FD9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sk-SK" w:eastAsia="cs-CZ"/>
        </w:rPr>
        <w:t>Prečo potrebujeme NECP opraviť?</w:t>
      </w:r>
    </w:p>
    <w:p w14:paraId="3079B178" w14:textId="77777777" w:rsidR="00061FD9" w:rsidRPr="00061FD9" w:rsidRDefault="00061FD9" w:rsidP="00061FD9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>Nesprávne podklady povedú k nesprávnym záverom. Na základe tohto plánu by sme konečne mali začať modelovať, ktoré klimatické ciele si stanovíme do roku 2030 a ako ich dosiahneme tak, aby sme najneskôr do roku 2050 splnili náš záväzok uhlíkovej neutrality. Nemôžeme začať s modelovaním, keď nemáme aktuálne dáta.</w:t>
      </w:r>
    </w:p>
    <w:p w14:paraId="479A1AF1" w14:textId="77777777" w:rsidR="00061FD9" w:rsidRPr="00061FD9" w:rsidRDefault="00061FD9" w:rsidP="00061FD9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>NECP znamená príležitosť nastaviť ciele a opatrenia, ktoré posunú spoločnosť k ochrane nás všetkých pred ničivými následkami klimatickej zmeny a dosiahnutiu uhlíkovej neutrality</w:t>
      </w:r>
    </w:p>
    <w:p w14:paraId="7E085AED" w14:textId="77777777" w:rsidR="00061FD9" w:rsidRPr="00061FD9" w:rsidRDefault="00061FD9" w:rsidP="00061FD9">
      <w:pPr>
        <w:numPr>
          <w:ilvl w:val="0"/>
          <w:numId w:val="6"/>
        </w:numPr>
        <w:spacing w:after="24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>Konkrétne opatrenia, ktoré nás dovedú k cieľom, v Pláne úplne absentujú. Je to premárnená šanca.</w:t>
      </w:r>
    </w:p>
    <w:p w14:paraId="2C035E46" w14:textId="77777777" w:rsidR="00FF29DC" w:rsidRPr="00C4415A" w:rsidRDefault="00FF29DC" w:rsidP="00061FD9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sk-SK" w:eastAsia="cs-CZ"/>
        </w:rPr>
      </w:pPr>
    </w:p>
    <w:p w14:paraId="6406E4F3" w14:textId="0FC0485D" w:rsidR="00061FD9" w:rsidRPr="00061FD9" w:rsidRDefault="00061FD9" w:rsidP="00C5373D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sk-SK" w:eastAsia="cs-CZ"/>
        </w:rPr>
        <w:t xml:space="preserve">Zhrnutie hodnotenia Národného energetického a klimatického plánu Slovenska 2021-2030 </w:t>
      </w:r>
    </w:p>
    <w:tbl>
      <w:tblPr>
        <w:tblStyle w:val="Tabukasmriekou1svetlzvraznenie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850"/>
        <w:gridCol w:w="709"/>
        <w:gridCol w:w="832"/>
        <w:gridCol w:w="1578"/>
        <w:gridCol w:w="1837"/>
      </w:tblGrid>
      <w:tr w:rsidR="004D301E" w:rsidRPr="00C4415A" w14:paraId="3931FCFD" w14:textId="77777777" w:rsidTr="004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Merge w:val="restart"/>
            <w:vAlign w:val="center"/>
            <w:hideMark/>
          </w:tcPr>
          <w:p w14:paraId="0A4D0BBC" w14:textId="77777777" w:rsidR="004D301E" w:rsidRPr="00061FD9" w:rsidRDefault="004D301E" w:rsidP="004D301E">
            <w:pPr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Národné ciele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8C7E01F" w14:textId="77777777" w:rsidR="004D301E" w:rsidRPr="00061FD9" w:rsidRDefault="004D301E" w:rsidP="00061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Aktuálne dáta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36EDE146" w14:textId="77777777" w:rsidR="004D301E" w:rsidRPr="00061FD9" w:rsidRDefault="004D301E" w:rsidP="00061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2020</w:t>
            </w:r>
          </w:p>
        </w:tc>
        <w:tc>
          <w:tcPr>
            <w:tcW w:w="832" w:type="dxa"/>
            <w:vMerge w:val="restart"/>
            <w:vAlign w:val="center"/>
            <w:hideMark/>
          </w:tcPr>
          <w:p w14:paraId="5EE8165D" w14:textId="77777777" w:rsidR="004D301E" w:rsidRPr="00061FD9" w:rsidRDefault="004D301E" w:rsidP="00061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2030</w:t>
            </w:r>
          </w:p>
        </w:tc>
        <w:tc>
          <w:tcPr>
            <w:tcW w:w="3415" w:type="dxa"/>
            <w:gridSpan w:val="2"/>
            <w:vAlign w:val="center"/>
            <w:hideMark/>
          </w:tcPr>
          <w:p w14:paraId="08AEE91F" w14:textId="77777777" w:rsidR="004D301E" w:rsidRPr="00061FD9" w:rsidRDefault="004D301E" w:rsidP="00061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Hodnotenie ambícií do roku 2030</w:t>
            </w:r>
          </w:p>
        </w:tc>
      </w:tr>
      <w:tr w:rsidR="004D301E" w:rsidRPr="00C4415A" w14:paraId="3AA6D650" w14:textId="77777777" w:rsidTr="004D301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Merge/>
            <w:vAlign w:val="center"/>
            <w:hideMark/>
          </w:tcPr>
          <w:p w14:paraId="58AC2C5C" w14:textId="77777777" w:rsidR="004D301E" w:rsidRPr="00061FD9" w:rsidRDefault="004D301E" w:rsidP="00061FD9">
            <w:pPr>
              <w:jc w:val="center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02EB643" w14:textId="77777777" w:rsidR="004D301E" w:rsidRPr="00061FD9" w:rsidRDefault="004D301E" w:rsidP="00061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B13174E" w14:textId="77777777" w:rsidR="004D301E" w:rsidRPr="00061FD9" w:rsidRDefault="004D301E" w:rsidP="00061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14:paraId="26720BEA" w14:textId="77777777" w:rsidR="004D301E" w:rsidRPr="00061FD9" w:rsidRDefault="004D301E" w:rsidP="00061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</w:p>
        </w:tc>
        <w:tc>
          <w:tcPr>
            <w:tcW w:w="1578" w:type="dxa"/>
            <w:vAlign w:val="center"/>
            <w:hideMark/>
          </w:tcPr>
          <w:p w14:paraId="003FDE2A" w14:textId="77777777" w:rsidR="004D301E" w:rsidRPr="00061FD9" w:rsidRDefault="004D301E" w:rsidP="00061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Európska komisia</w:t>
            </w:r>
          </w:p>
        </w:tc>
        <w:tc>
          <w:tcPr>
            <w:tcW w:w="1837" w:type="dxa"/>
            <w:vAlign w:val="center"/>
            <w:hideMark/>
          </w:tcPr>
          <w:p w14:paraId="2D3A8FAE" w14:textId="77777777" w:rsidR="004D301E" w:rsidRPr="00061FD9" w:rsidRDefault="004D301E" w:rsidP="00061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Slovenská klimatická iniciatíva</w:t>
            </w:r>
          </w:p>
        </w:tc>
      </w:tr>
      <w:tr w:rsidR="00665003" w:rsidRPr="00C4415A" w14:paraId="3BD27E15" w14:textId="77777777" w:rsidTr="00CE5DCB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2D788398" w14:textId="77777777" w:rsidR="00061FD9" w:rsidRPr="00061FD9" w:rsidRDefault="00061FD9" w:rsidP="00061FD9">
            <w:pPr>
              <w:jc w:val="both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Skleníkové plyny</w:t>
            </w:r>
          </w:p>
        </w:tc>
        <w:tc>
          <w:tcPr>
            <w:tcW w:w="2127" w:type="dxa"/>
            <w:vAlign w:val="center"/>
            <w:hideMark/>
          </w:tcPr>
          <w:p w14:paraId="035D3178" w14:textId="51385140" w:rsidR="00061FD9" w:rsidRPr="00061FD9" w:rsidRDefault="00061FD9" w:rsidP="000D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Záväzný cieľ pre emisie skleníkových plynov v porovnaní s rokom 2005 podľa nariadenia o spoločnom úsilí</w:t>
            </w:r>
          </w:p>
        </w:tc>
        <w:tc>
          <w:tcPr>
            <w:tcW w:w="850" w:type="dxa"/>
            <w:vAlign w:val="center"/>
            <w:hideMark/>
          </w:tcPr>
          <w:p w14:paraId="293F7481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-5 %</w:t>
            </w:r>
          </w:p>
        </w:tc>
        <w:tc>
          <w:tcPr>
            <w:tcW w:w="709" w:type="dxa"/>
            <w:vAlign w:val="center"/>
            <w:hideMark/>
          </w:tcPr>
          <w:p w14:paraId="02653D47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13 %</w:t>
            </w:r>
          </w:p>
        </w:tc>
        <w:tc>
          <w:tcPr>
            <w:tcW w:w="832" w:type="dxa"/>
            <w:vAlign w:val="center"/>
            <w:hideMark/>
          </w:tcPr>
          <w:p w14:paraId="00EC7A0E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-12 %</w:t>
            </w:r>
          </w:p>
        </w:tc>
        <w:tc>
          <w:tcPr>
            <w:tcW w:w="1578" w:type="dxa"/>
            <w:vAlign w:val="center"/>
            <w:hideMark/>
          </w:tcPr>
          <w:p w14:paraId="0B13137A" w14:textId="77777777" w:rsidR="00061FD9" w:rsidRPr="00061FD9" w:rsidRDefault="00061FD9" w:rsidP="0066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Ambiciózne,</w:t>
            </w:r>
          </w:p>
          <w:p w14:paraId="2DE7235F" w14:textId="77777777" w:rsidR="008E6885" w:rsidRPr="00C4415A" w:rsidRDefault="00061FD9" w:rsidP="0066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 xml:space="preserve">národný cieľ zníženia </w:t>
            </w:r>
          </w:p>
          <w:p w14:paraId="75DEF61E" w14:textId="1B9B3FB1" w:rsidR="00061FD9" w:rsidRPr="00061FD9" w:rsidRDefault="00061FD9" w:rsidP="0066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až o -20 %</w:t>
            </w:r>
          </w:p>
        </w:tc>
        <w:tc>
          <w:tcPr>
            <w:tcW w:w="1837" w:type="dxa"/>
            <w:vAlign w:val="center"/>
            <w:hideMark/>
          </w:tcPr>
          <w:p w14:paraId="0594E2EE" w14:textId="2FCBA63B" w:rsidR="00061FD9" w:rsidRPr="00061FD9" w:rsidRDefault="00061FD9" w:rsidP="0006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Ambiciózne, ale</w:t>
            </w:r>
            <w:r w:rsidR="007D49DA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 xml:space="preserve"> zatiaľ nerealistické. C</w:t>
            </w: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hýba</w:t>
            </w:r>
            <w:r w:rsidR="001C541E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jú</w:t>
            </w: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 xml:space="preserve"> </w:t>
            </w:r>
            <w:r w:rsidR="007D49DA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dostat</w:t>
            </w:r>
            <w:r w:rsidR="003F0D8C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o</w:t>
            </w:r>
            <w:r w:rsidR="007D49DA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 xml:space="preserve">čné </w:t>
            </w: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opatreni</w:t>
            </w:r>
            <w:r w:rsidR="00B90D2C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a.</w:t>
            </w:r>
          </w:p>
        </w:tc>
      </w:tr>
      <w:tr w:rsidR="00CE5DCB" w:rsidRPr="00C4415A" w14:paraId="5117593D" w14:textId="77777777" w:rsidTr="00CE5DCB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153BB942" w14:textId="77A6B98B" w:rsidR="00061FD9" w:rsidRPr="00061FD9" w:rsidRDefault="00061FD9" w:rsidP="00061FD9">
            <w:pPr>
              <w:jc w:val="both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Obnoviteľné zdroje</w:t>
            </w:r>
            <w:r w:rsidR="006124CC" w:rsidRPr="00C4415A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 xml:space="preserve"> energie</w:t>
            </w:r>
          </w:p>
        </w:tc>
        <w:tc>
          <w:tcPr>
            <w:tcW w:w="2127" w:type="dxa"/>
            <w:vAlign w:val="center"/>
            <w:hideMark/>
          </w:tcPr>
          <w:p w14:paraId="2F3ED359" w14:textId="77777777" w:rsidR="00061FD9" w:rsidRPr="00061FD9" w:rsidRDefault="00061FD9" w:rsidP="000D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Národný cieľ / príspevok pre obnoviteľnú energiu:</w:t>
            </w:r>
          </w:p>
          <w:p w14:paraId="183EC3EB" w14:textId="310B4D8C" w:rsidR="00061FD9" w:rsidRPr="00061FD9" w:rsidRDefault="00061FD9" w:rsidP="000D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Podiel energie z obnoviteľných zdrojov na hrubej konečnej spotrebe energie</w:t>
            </w:r>
          </w:p>
        </w:tc>
        <w:tc>
          <w:tcPr>
            <w:tcW w:w="850" w:type="dxa"/>
            <w:vAlign w:val="center"/>
            <w:hideMark/>
          </w:tcPr>
          <w:p w14:paraId="3AEEC5E5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11,9 %</w:t>
            </w:r>
          </w:p>
        </w:tc>
        <w:tc>
          <w:tcPr>
            <w:tcW w:w="709" w:type="dxa"/>
            <w:vAlign w:val="center"/>
            <w:hideMark/>
          </w:tcPr>
          <w:p w14:paraId="752AAC84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14 %</w:t>
            </w:r>
          </w:p>
        </w:tc>
        <w:tc>
          <w:tcPr>
            <w:tcW w:w="832" w:type="dxa"/>
            <w:vAlign w:val="center"/>
            <w:hideMark/>
          </w:tcPr>
          <w:p w14:paraId="01294B5A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19,2 %</w:t>
            </w:r>
          </w:p>
        </w:tc>
        <w:tc>
          <w:tcPr>
            <w:tcW w:w="1578" w:type="dxa"/>
            <w:vAlign w:val="center"/>
            <w:hideMark/>
          </w:tcPr>
          <w:p w14:paraId="283C77DD" w14:textId="77777777" w:rsidR="00061FD9" w:rsidRPr="00061FD9" w:rsidRDefault="00061FD9" w:rsidP="0066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Neambiciózne, cieľ by mal byť 24 %</w:t>
            </w:r>
          </w:p>
        </w:tc>
        <w:tc>
          <w:tcPr>
            <w:tcW w:w="1837" w:type="dxa"/>
            <w:vAlign w:val="center"/>
            <w:hideMark/>
          </w:tcPr>
          <w:p w14:paraId="32CF2DA8" w14:textId="51508CFD" w:rsidR="00061FD9" w:rsidRPr="00061FD9" w:rsidRDefault="00061FD9" w:rsidP="0006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 xml:space="preserve">Neambiciózne a zavádzajúce. Nesprávny </w:t>
            </w:r>
            <w:r w:rsidR="006124CC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v</w:t>
            </w:r>
            <w:r w:rsidR="005054CA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stup pre rok 2020. C</w:t>
            </w: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hýba</w:t>
            </w:r>
            <w:r w:rsidR="006124CC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 xml:space="preserve">jú opatrenia pre OZE </w:t>
            </w: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 xml:space="preserve"> </w:t>
            </w:r>
            <w:r w:rsidR="000D006E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 xml:space="preserve">pre </w:t>
            </w: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dosiahnutie</w:t>
            </w:r>
            <w:r w:rsidR="000D006E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 xml:space="preserve"> cieľa</w:t>
            </w: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.</w:t>
            </w:r>
          </w:p>
        </w:tc>
      </w:tr>
      <w:tr w:rsidR="00665003" w:rsidRPr="00C4415A" w14:paraId="6A5BE1A5" w14:textId="77777777" w:rsidTr="00CE5DCB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07C75B22" w14:textId="77777777" w:rsidR="00061FD9" w:rsidRPr="00061FD9" w:rsidRDefault="00061FD9" w:rsidP="00061FD9">
            <w:pPr>
              <w:jc w:val="both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Energetická efektívnosť</w:t>
            </w:r>
          </w:p>
        </w:tc>
        <w:tc>
          <w:tcPr>
            <w:tcW w:w="2127" w:type="dxa"/>
            <w:vAlign w:val="center"/>
            <w:hideMark/>
          </w:tcPr>
          <w:p w14:paraId="05FFDA9B" w14:textId="77777777" w:rsidR="00061FD9" w:rsidRPr="00061FD9" w:rsidRDefault="00061FD9" w:rsidP="000D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Národný príspevok k energetickej efektívnosti:</w:t>
            </w:r>
          </w:p>
          <w:p w14:paraId="43722913" w14:textId="154A4351" w:rsidR="00061FD9" w:rsidRPr="00061FD9" w:rsidRDefault="00061FD9" w:rsidP="000D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Spotreba primárnej energie (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Mt</w:t>
            </w:r>
            <w:r w:rsidR="00DD02F9" w:rsidRPr="00C4415A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oe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)</w:t>
            </w:r>
          </w:p>
          <w:p w14:paraId="0D9EA3A9" w14:textId="2E17620D" w:rsidR="00061FD9" w:rsidRPr="00061FD9" w:rsidRDefault="00061FD9" w:rsidP="000D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val="sk-SK" w:eastAsia="cs-CZ"/>
              </w:rPr>
              <w:t>Konečná spotreba energie (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val="sk-SK" w:eastAsia="cs-CZ"/>
              </w:rPr>
              <w:t>Mt</w:t>
            </w:r>
            <w:r w:rsidR="00DD02F9" w:rsidRPr="00C4415A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val="sk-SK" w:eastAsia="cs-CZ"/>
              </w:rPr>
              <w:t>oe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val="sk-SK" w:eastAsia="cs-CZ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14:paraId="19F93123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07DEBBAC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49458607" w14:textId="5216EEB2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0B33925D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15,8</w:t>
            </w:r>
          </w:p>
          <w:p w14:paraId="5482A8C4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33913CC6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11,1</w:t>
            </w:r>
          </w:p>
        </w:tc>
        <w:tc>
          <w:tcPr>
            <w:tcW w:w="709" w:type="dxa"/>
            <w:vAlign w:val="center"/>
            <w:hideMark/>
          </w:tcPr>
          <w:p w14:paraId="65D53C0A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406D29BE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36E73D42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60F38984" w14:textId="3FEFEC24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16,4</w:t>
            </w:r>
          </w:p>
          <w:p w14:paraId="79EF67B0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7069C9DD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9,0</w:t>
            </w:r>
          </w:p>
        </w:tc>
        <w:tc>
          <w:tcPr>
            <w:tcW w:w="832" w:type="dxa"/>
            <w:vAlign w:val="center"/>
            <w:hideMark/>
          </w:tcPr>
          <w:p w14:paraId="2572181A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251357D1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721CB381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3FF89930" w14:textId="141CBEC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15,7</w:t>
            </w:r>
          </w:p>
          <w:p w14:paraId="3F19A4C6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 </w:t>
            </w:r>
          </w:p>
          <w:p w14:paraId="55D30DB4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10,3</w:t>
            </w:r>
          </w:p>
        </w:tc>
        <w:tc>
          <w:tcPr>
            <w:tcW w:w="1578" w:type="dxa"/>
            <w:vAlign w:val="center"/>
            <w:hideMark/>
          </w:tcPr>
          <w:p w14:paraId="594D6872" w14:textId="37684135" w:rsidR="00061FD9" w:rsidRPr="00061FD9" w:rsidRDefault="00061FD9" w:rsidP="0066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Nízke ambície</w:t>
            </w:r>
          </w:p>
        </w:tc>
        <w:tc>
          <w:tcPr>
            <w:tcW w:w="1837" w:type="dxa"/>
            <w:vAlign w:val="center"/>
            <w:hideMark/>
          </w:tcPr>
          <w:p w14:paraId="2C7A4954" w14:textId="73C2A9FB" w:rsidR="00061FD9" w:rsidRPr="00061FD9" w:rsidRDefault="00061FD9" w:rsidP="00CE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 Nízke ambície, chýbajúce opatrenia</w:t>
            </w:r>
            <w:r w:rsidR="00B90D2C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.</w:t>
            </w:r>
          </w:p>
        </w:tc>
      </w:tr>
      <w:tr w:rsidR="00CE5DCB" w:rsidRPr="00C4415A" w14:paraId="3317C5D4" w14:textId="77777777" w:rsidTr="00CE5DC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61EC77BE" w14:textId="77777777" w:rsidR="00061FD9" w:rsidRPr="00061FD9" w:rsidRDefault="00061FD9" w:rsidP="00061FD9">
            <w:pPr>
              <w:jc w:val="both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Elektrina</w:t>
            </w:r>
          </w:p>
        </w:tc>
        <w:tc>
          <w:tcPr>
            <w:tcW w:w="2127" w:type="dxa"/>
            <w:vAlign w:val="center"/>
            <w:hideMark/>
          </w:tcPr>
          <w:p w14:paraId="47BA9714" w14:textId="77777777" w:rsidR="00061FD9" w:rsidRPr="00061FD9" w:rsidRDefault="00061FD9" w:rsidP="000D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Úroveň elektrického prepojenia</w:t>
            </w:r>
          </w:p>
        </w:tc>
        <w:tc>
          <w:tcPr>
            <w:tcW w:w="850" w:type="dxa"/>
            <w:vAlign w:val="center"/>
            <w:hideMark/>
          </w:tcPr>
          <w:p w14:paraId="5C42B90C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43 %</w:t>
            </w:r>
          </w:p>
        </w:tc>
        <w:tc>
          <w:tcPr>
            <w:tcW w:w="709" w:type="dxa"/>
            <w:vAlign w:val="center"/>
            <w:hideMark/>
          </w:tcPr>
          <w:p w14:paraId="06C1F8F3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59 %</w:t>
            </w:r>
          </w:p>
        </w:tc>
        <w:tc>
          <w:tcPr>
            <w:tcW w:w="832" w:type="dxa"/>
            <w:vAlign w:val="center"/>
            <w:hideMark/>
          </w:tcPr>
          <w:p w14:paraId="5A7831DB" w14:textId="77777777" w:rsidR="00061FD9" w:rsidRPr="00061FD9" w:rsidRDefault="00061FD9" w:rsidP="00061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52 %</w:t>
            </w:r>
          </w:p>
        </w:tc>
        <w:tc>
          <w:tcPr>
            <w:tcW w:w="1578" w:type="dxa"/>
            <w:vAlign w:val="center"/>
            <w:hideMark/>
          </w:tcPr>
          <w:p w14:paraId="501D8582" w14:textId="77777777" w:rsidR="00061FD9" w:rsidRPr="00061FD9" w:rsidRDefault="00061FD9" w:rsidP="0066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shd w:val="clear" w:color="auto" w:fill="FFFFFF"/>
                <w:lang w:val="sk-SK" w:eastAsia="cs-CZ"/>
              </w:rPr>
              <w:t>Nie je k dispozícií</w:t>
            </w:r>
          </w:p>
        </w:tc>
        <w:tc>
          <w:tcPr>
            <w:tcW w:w="1837" w:type="dxa"/>
            <w:vAlign w:val="center"/>
            <w:hideMark/>
          </w:tcPr>
          <w:p w14:paraId="1797BC19" w14:textId="21D82138" w:rsidR="00061FD9" w:rsidRPr="00061FD9" w:rsidRDefault="00061FD9" w:rsidP="0006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Nevyužitý potenciál pre zapojenie nových zdrojov</w:t>
            </w:r>
            <w:r w:rsidR="00B90D2C" w:rsidRPr="00C4415A">
              <w:rPr>
                <w:rFonts w:asciiTheme="majorHAnsi" w:eastAsia="Times New Roman" w:hAnsiTheme="majorHAnsi" w:cstheme="majorHAnsi"/>
                <w:color w:val="2F5496" w:themeColor="accent1" w:themeShade="BF"/>
                <w:sz w:val="17"/>
                <w:szCs w:val="17"/>
                <w:shd w:val="clear" w:color="auto" w:fill="FFFFFF"/>
                <w:lang w:val="sk-SK" w:eastAsia="cs-CZ"/>
              </w:rPr>
              <w:t>.</w:t>
            </w:r>
          </w:p>
        </w:tc>
      </w:tr>
    </w:tbl>
    <w:p w14:paraId="1143D6E6" w14:textId="77777777" w:rsidR="00061FD9" w:rsidRPr="00F911A7" w:rsidRDefault="00061FD9" w:rsidP="00FF29DC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</w:p>
    <w:p w14:paraId="13CED5DB" w14:textId="77777777" w:rsidR="00565F68" w:rsidRPr="00C4415A" w:rsidRDefault="00565F68" w:rsidP="00B47983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sk-SK" w:eastAsia="cs-CZ"/>
        </w:rPr>
      </w:pPr>
    </w:p>
    <w:p w14:paraId="2E3EC5E8" w14:textId="41D497C2" w:rsidR="00B47983" w:rsidRPr="00061FD9" w:rsidRDefault="00B47983" w:rsidP="00B47983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sk-SK" w:eastAsia="cs-CZ"/>
        </w:rPr>
        <w:t>Kto to zaplatí?</w:t>
      </w:r>
    </w:p>
    <w:p w14:paraId="393B2D79" w14:textId="77777777" w:rsidR="00B47983" w:rsidRPr="00665003" w:rsidRDefault="00B47983" w:rsidP="00B47983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665003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cs-CZ"/>
        </w:rPr>
        <w:t>Európska únia pripravila historicky najväčší finančný balík určený na boj s prepadom ekonomík, ktorý súbežne rieši klimatickú krízu a zhoršenie jej následkov v Európe.</w:t>
      </w:r>
    </w:p>
    <w:p w14:paraId="2E4C4CC8" w14:textId="58862F85" w:rsidR="00B47983" w:rsidRPr="00C4415A" w:rsidRDefault="00B47983" w:rsidP="00565F6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</w:pPr>
      <w:r w:rsidRPr="00061FD9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 xml:space="preserve">EU </w:t>
      </w:r>
      <w:r w:rsidRPr="00C4415A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>fondy</w:t>
      </w:r>
      <w:r w:rsidRPr="00061FD9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 xml:space="preserve"> 2021-2027</w:t>
      </w:r>
      <w:r w:rsidR="00872A76" w:rsidRPr="00C4415A"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  <w:t xml:space="preserve">, </w:t>
      </w:r>
      <w:r w:rsidR="00872A76" w:rsidRPr="00C4415A">
        <w:rPr>
          <w:rFonts w:asciiTheme="majorHAnsi" w:eastAsia="Times New Roman" w:hAnsiTheme="majorHAnsi" w:cstheme="majorHAnsi"/>
          <w:sz w:val="20"/>
          <w:szCs w:val="20"/>
          <w:lang w:val="sk-SK" w:eastAsia="cs-CZ"/>
        </w:rPr>
        <w:t>dostupné pre všetky členské štáty EÚ, relevantné pre implementáciu energetických a klimatických plánov:</w:t>
      </w:r>
    </w:p>
    <w:p w14:paraId="14781AE8" w14:textId="5EACFAEA" w:rsidR="00552DBB" w:rsidRPr="00C4415A" w:rsidRDefault="00552DBB" w:rsidP="00B47983">
      <w:pPr>
        <w:spacing w:after="0" w:line="240" w:lineRule="auto"/>
        <w:ind w:right="1367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cs-CZ"/>
        </w:rPr>
      </w:pPr>
    </w:p>
    <w:tbl>
      <w:tblPr>
        <w:tblStyle w:val="Tabukasmriekou1svetlzvraznenie1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2432"/>
      </w:tblGrid>
      <w:tr w:rsidR="00AC666F" w:rsidRPr="00C4415A" w14:paraId="17626B9F" w14:textId="77777777" w:rsidTr="0096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3A213B3" w14:textId="73A768E7" w:rsidR="00AC666F" w:rsidRPr="00C4415A" w:rsidRDefault="00AC666F" w:rsidP="00B47983">
            <w:pPr>
              <w:ind w:right="1367"/>
              <w:jc w:val="both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Fondy EÚ 2021</w:t>
            </w:r>
            <w:r w:rsidR="00F62677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 xml:space="preserve"> </w:t>
            </w: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- 2027</w:t>
            </w:r>
          </w:p>
        </w:tc>
        <w:tc>
          <w:tcPr>
            <w:tcW w:w="2432" w:type="dxa"/>
          </w:tcPr>
          <w:p w14:paraId="4BDA790B" w14:textId="52468914" w:rsidR="00AC666F" w:rsidRPr="00C4415A" w:rsidRDefault="00BC3C1A" w:rsidP="00BE15EA">
            <w:pPr>
              <w:ind w:right="136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proofErr w:type="spellStart"/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mld</w:t>
            </w:r>
            <w:proofErr w:type="spellEnd"/>
            <w:r w:rsidR="00D94564"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 xml:space="preserve"> </w:t>
            </w: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eur</w:t>
            </w:r>
          </w:p>
        </w:tc>
      </w:tr>
      <w:tr w:rsidR="00AC666F" w:rsidRPr="00C4415A" w14:paraId="75182AD6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5C77752" w14:textId="25707D2C" w:rsidR="00AC666F" w:rsidRPr="00C4415A" w:rsidRDefault="00AC666F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Štrukturálne fondy</w:t>
            </w:r>
          </w:p>
        </w:tc>
        <w:tc>
          <w:tcPr>
            <w:tcW w:w="2432" w:type="dxa"/>
          </w:tcPr>
          <w:p w14:paraId="40396659" w14:textId="6C852CEB" w:rsidR="00AC666F" w:rsidRPr="00C4415A" w:rsidRDefault="00AC666F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12</w:t>
            </w: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,</w:t>
            </w:r>
            <w:r w:rsidRPr="00061FD9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4</w:t>
            </w:r>
          </w:p>
        </w:tc>
      </w:tr>
      <w:tr w:rsidR="005D03D0" w:rsidRPr="00C4415A" w14:paraId="74797E36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CE4AAF9" w14:textId="2768ADC6" w:rsidR="005D03D0" w:rsidRPr="005D03D0" w:rsidRDefault="005D03D0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 w:rsidRPr="005D03D0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Spoločná poľnohospodárska politika</w:t>
            </w:r>
          </w:p>
        </w:tc>
        <w:tc>
          <w:tcPr>
            <w:tcW w:w="2432" w:type="dxa"/>
          </w:tcPr>
          <w:p w14:paraId="7B7FE4CD" w14:textId="5714E35F" w:rsidR="005D03D0" w:rsidRPr="00061FD9" w:rsidRDefault="00DD1896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4,7</w:t>
            </w:r>
          </w:p>
        </w:tc>
      </w:tr>
      <w:tr w:rsidR="00AC666F" w:rsidRPr="00C4415A" w14:paraId="0B93FE26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B305106" w14:textId="1FC90AD4" w:rsidR="00AC666F" w:rsidRPr="00C4415A" w:rsidRDefault="00417783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Mechanizmus na podporu obnovy a odolnosti</w:t>
            </w:r>
          </w:p>
        </w:tc>
        <w:tc>
          <w:tcPr>
            <w:tcW w:w="2432" w:type="dxa"/>
          </w:tcPr>
          <w:p w14:paraId="47A121A1" w14:textId="4C1924D0" w:rsidR="00AC666F" w:rsidRPr="00C4415A" w:rsidRDefault="00AC666F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5</w:t>
            </w: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,</w:t>
            </w:r>
            <w:r w:rsidRPr="00061FD9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8</w:t>
            </w:r>
          </w:p>
        </w:tc>
      </w:tr>
      <w:tr w:rsidR="00AC666F" w:rsidRPr="00C4415A" w14:paraId="1FA732B2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789B76B" w14:textId="77B8188F" w:rsidR="00AC666F" w:rsidRPr="00C4415A" w:rsidRDefault="00AC666F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Fond spravodlivej transformácie</w:t>
            </w:r>
          </w:p>
        </w:tc>
        <w:tc>
          <w:tcPr>
            <w:tcW w:w="2432" w:type="dxa"/>
          </w:tcPr>
          <w:p w14:paraId="094E65E2" w14:textId="2055112F" w:rsidR="00AC666F" w:rsidRPr="00C4415A" w:rsidRDefault="00EA7807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0,4</w:t>
            </w:r>
          </w:p>
        </w:tc>
      </w:tr>
      <w:tr w:rsidR="00AC666F" w:rsidRPr="00C4415A" w14:paraId="353EBD95" w14:textId="77777777" w:rsidTr="009663F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C5094DA" w14:textId="7117BFD3" w:rsidR="00AC666F" w:rsidRPr="00C4415A" w:rsidRDefault="00AC666F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Modernizačný fond</w:t>
            </w:r>
          </w:p>
        </w:tc>
        <w:tc>
          <w:tcPr>
            <w:tcW w:w="2432" w:type="dxa"/>
          </w:tcPr>
          <w:p w14:paraId="6A6B6641" w14:textId="1FA99936" w:rsidR="00AC666F" w:rsidRPr="00C4415A" w:rsidRDefault="00EA7807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0,8</w:t>
            </w:r>
          </w:p>
        </w:tc>
      </w:tr>
      <w:tr w:rsidR="00AC666F" w:rsidRPr="00C4415A" w14:paraId="4641F828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2FBBB2B" w14:textId="76289BAA" w:rsidR="00AC666F" w:rsidRPr="00C4415A" w:rsidRDefault="00AC666F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ETS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auction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 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revenue</w:t>
            </w:r>
            <w:proofErr w:type="spellEnd"/>
          </w:p>
        </w:tc>
        <w:tc>
          <w:tcPr>
            <w:tcW w:w="2432" w:type="dxa"/>
          </w:tcPr>
          <w:p w14:paraId="4E4849BF" w14:textId="710A4D68" w:rsidR="00AC666F" w:rsidRPr="00C4415A" w:rsidRDefault="00A703DD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0,2</w:t>
            </w:r>
          </w:p>
        </w:tc>
      </w:tr>
      <w:tr w:rsidR="00A703DD" w:rsidRPr="00C4415A" w14:paraId="0CE51BFF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F46BD8E" w14:textId="20EEC11B" w:rsidR="00F62677" w:rsidRDefault="00987F81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Ďalšie fondy EÚ</w:t>
            </w:r>
            <w:r w:rsidR="00313D28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 xml:space="preserve"> </w:t>
            </w:r>
            <w:r w:rsidR="00F62677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2021 – 2027:</w:t>
            </w:r>
          </w:p>
          <w:p w14:paraId="19F4C8F1" w14:textId="1EBF7B39" w:rsidR="00A703DD" w:rsidRPr="00061FD9" w:rsidRDefault="00F62677" w:rsidP="00296000">
            <w:pPr>
              <w:ind w:right="1367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F</w:t>
            </w:r>
            <w:r w:rsidR="008A3A61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 xml:space="preserve">inančné </w:t>
            </w:r>
            <w:r w:rsidR="00313D28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 xml:space="preserve">čiastky </w:t>
            </w:r>
            <w:r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relevantné pre</w:t>
            </w:r>
            <w:r w:rsidR="00313D28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 xml:space="preserve"> implementáciu energetickýc</w:t>
            </w:r>
            <w:r w:rsidR="008A3A61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h a klimatických plánov</w:t>
            </w:r>
            <w:r w:rsidR="00987F81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 xml:space="preserve"> </w:t>
            </w:r>
          </w:p>
        </w:tc>
        <w:tc>
          <w:tcPr>
            <w:tcW w:w="2432" w:type="dxa"/>
          </w:tcPr>
          <w:p w14:paraId="5ECD8145" w14:textId="3262A5BC" w:rsidR="00A703DD" w:rsidRPr="008A3A61" w:rsidRDefault="008A3A61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17"/>
                <w:szCs w:val="17"/>
                <w:lang w:val="sk-SK" w:eastAsia="cs-CZ"/>
              </w:rPr>
            </w:pPr>
            <w:proofErr w:type="spellStart"/>
            <w:r w:rsidRPr="008A3A61">
              <w:rPr>
                <w:rFonts w:asciiTheme="majorHAnsi" w:eastAsia="Times New Roman" w:hAnsiTheme="majorHAnsi" w:cstheme="majorHAnsi"/>
                <w:b/>
                <w:bCs/>
                <w:sz w:val="17"/>
                <w:szCs w:val="17"/>
                <w:lang w:val="sk-SK" w:eastAsia="cs-CZ"/>
              </w:rPr>
              <w:t>mld</w:t>
            </w:r>
            <w:proofErr w:type="spellEnd"/>
            <w:r w:rsidRPr="008A3A61">
              <w:rPr>
                <w:rFonts w:asciiTheme="majorHAnsi" w:eastAsia="Times New Roman" w:hAnsiTheme="majorHAnsi" w:cstheme="majorHAnsi"/>
                <w:b/>
                <w:bCs/>
                <w:sz w:val="17"/>
                <w:szCs w:val="17"/>
                <w:lang w:val="sk-SK" w:eastAsia="cs-CZ"/>
              </w:rPr>
              <w:t xml:space="preserve"> eur</w:t>
            </w:r>
          </w:p>
        </w:tc>
      </w:tr>
      <w:tr w:rsidR="00AC666F" w:rsidRPr="00C4415A" w14:paraId="016AEF25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4DA0D29" w14:textId="5287510E" w:rsidR="00AC666F" w:rsidRPr="00C4415A" w:rsidRDefault="00BC3C1A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proofErr w:type="spellStart"/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Horizon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Europe</w:t>
            </w:r>
            <w:proofErr w:type="spellEnd"/>
          </w:p>
        </w:tc>
        <w:tc>
          <w:tcPr>
            <w:tcW w:w="2432" w:type="dxa"/>
          </w:tcPr>
          <w:p w14:paraId="7C37BD6D" w14:textId="2460AFCB" w:rsidR="00AC666F" w:rsidRPr="00C4415A" w:rsidRDefault="004669AC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91</w:t>
            </w:r>
          </w:p>
        </w:tc>
      </w:tr>
      <w:tr w:rsidR="00872A76" w:rsidRPr="00C4415A" w14:paraId="2A029979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E6B5947" w14:textId="6369F9DC" w:rsidR="00872A76" w:rsidRPr="00C4415A" w:rsidRDefault="00BC3C1A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proofErr w:type="spellStart"/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InvestEU</w:t>
            </w:r>
            <w:proofErr w:type="spellEnd"/>
          </w:p>
        </w:tc>
        <w:tc>
          <w:tcPr>
            <w:tcW w:w="2432" w:type="dxa"/>
          </w:tcPr>
          <w:p w14:paraId="074CD7E1" w14:textId="3860C6FA" w:rsidR="00872A76" w:rsidRPr="00C4415A" w:rsidRDefault="004669AC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9,1</w:t>
            </w:r>
          </w:p>
        </w:tc>
      </w:tr>
      <w:tr w:rsidR="00872A76" w:rsidRPr="00C4415A" w14:paraId="77605BB3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75E4C5A3" w14:textId="18B46C8F" w:rsidR="00872A76" w:rsidRPr="00C4415A" w:rsidRDefault="00BC3C1A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proofErr w:type="spellStart"/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Connecting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Europe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Facility</w:t>
            </w:r>
            <w:proofErr w:type="spellEnd"/>
          </w:p>
        </w:tc>
        <w:tc>
          <w:tcPr>
            <w:tcW w:w="2432" w:type="dxa"/>
          </w:tcPr>
          <w:p w14:paraId="647F0143" w14:textId="528A6DBF" w:rsidR="00872A76" w:rsidRPr="00C4415A" w:rsidRDefault="004669AC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29,9</w:t>
            </w:r>
          </w:p>
        </w:tc>
      </w:tr>
      <w:tr w:rsidR="00872A76" w:rsidRPr="00C4415A" w14:paraId="76185802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A6C13F2" w14:textId="0CE65AA9" w:rsidR="00872A76" w:rsidRPr="00C4415A" w:rsidRDefault="00BC3C1A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proofErr w:type="spellStart"/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Recovery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and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Resilience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Facility</w:t>
            </w:r>
            <w:proofErr w:type="spellEnd"/>
          </w:p>
        </w:tc>
        <w:tc>
          <w:tcPr>
            <w:tcW w:w="2432" w:type="dxa"/>
          </w:tcPr>
          <w:p w14:paraId="3F45DC11" w14:textId="1C766D37" w:rsidR="00872A76" w:rsidRPr="00C4415A" w:rsidRDefault="00565F68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360</w:t>
            </w:r>
          </w:p>
        </w:tc>
      </w:tr>
      <w:tr w:rsidR="00872A76" w:rsidRPr="00C4415A" w14:paraId="31170484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9A4EBF8" w14:textId="58FFE4EE" w:rsidR="00872A76" w:rsidRPr="00C4415A" w:rsidRDefault="00BC3C1A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proofErr w:type="spellStart"/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Technical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Support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Instrument</w:t>
            </w:r>
            <w:proofErr w:type="spellEnd"/>
          </w:p>
        </w:tc>
        <w:tc>
          <w:tcPr>
            <w:tcW w:w="2432" w:type="dxa"/>
          </w:tcPr>
          <w:p w14:paraId="36FD5E4A" w14:textId="765EA5F8" w:rsidR="00872A76" w:rsidRPr="00C4415A" w:rsidRDefault="00565F68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0,9</w:t>
            </w:r>
          </w:p>
        </w:tc>
      </w:tr>
      <w:tr w:rsidR="00872A76" w:rsidRPr="00C4415A" w14:paraId="04F262B5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71EC13BD" w14:textId="14D24DDE" w:rsidR="00872A76" w:rsidRPr="00C4415A" w:rsidRDefault="00BC3C1A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LIFE</w:t>
            </w:r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Program</w:t>
            </w:r>
          </w:p>
        </w:tc>
        <w:tc>
          <w:tcPr>
            <w:tcW w:w="2432" w:type="dxa"/>
          </w:tcPr>
          <w:p w14:paraId="08BE3B37" w14:textId="4D55A552" w:rsidR="00872A76" w:rsidRPr="00C4415A" w:rsidRDefault="00565F68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5,4</w:t>
            </w:r>
          </w:p>
        </w:tc>
      </w:tr>
      <w:tr w:rsidR="00872A76" w:rsidRPr="00C4415A" w14:paraId="7C111B01" w14:textId="77777777" w:rsidTr="009663F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4A7E0F0" w14:textId="54F9A0BC" w:rsidR="00872A76" w:rsidRPr="00C4415A" w:rsidRDefault="00BC3C1A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proofErr w:type="spellStart"/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European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Agricultural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Fund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for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Rural</w:t>
            </w:r>
            <w:proofErr w:type="spellEnd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 xml:space="preserve"> </w:t>
            </w:r>
            <w:proofErr w:type="spellStart"/>
            <w:r w:rsidRPr="00061FD9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Development</w:t>
            </w:r>
            <w:proofErr w:type="spellEnd"/>
          </w:p>
        </w:tc>
        <w:tc>
          <w:tcPr>
            <w:tcW w:w="2432" w:type="dxa"/>
          </w:tcPr>
          <w:p w14:paraId="076D02CD" w14:textId="4C0A2584" w:rsidR="00872A76" w:rsidRPr="00C4415A" w:rsidRDefault="00565F68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8,2</w:t>
            </w:r>
          </w:p>
        </w:tc>
      </w:tr>
      <w:tr w:rsidR="00872A76" w:rsidRPr="00C4415A" w14:paraId="49952278" w14:textId="77777777" w:rsidTr="009663F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189020D" w14:textId="7E8FE0FA" w:rsidR="00872A76" w:rsidRPr="00C4415A" w:rsidRDefault="00BC3C1A" w:rsidP="00296000">
            <w:pPr>
              <w:ind w:right="1367"/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b w:val="0"/>
                <w:bCs w:val="0"/>
                <w:sz w:val="17"/>
                <w:szCs w:val="17"/>
                <w:lang w:val="sk-SK" w:eastAsia="cs-CZ"/>
              </w:rPr>
              <w:t>Inovačný fond</w:t>
            </w:r>
          </w:p>
        </w:tc>
        <w:tc>
          <w:tcPr>
            <w:tcW w:w="2432" w:type="dxa"/>
          </w:tcPr>
          <w:p w14:paraId="10207E2C" w14:textId="4DAE664E" w:rsidR="00872A76" w:rsidRPr="00C4415A" w:rsidRDefault="00565F68" w:rsidP="001336C8">
            <w:pPr>
              <w:ind w:right="13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</w:pPr>
            <w:r w:rsidRPr="00C4415A">
              <w:rPr>
                <w:rFonts w:asciiTheme="majorHAnsi" w:eastAsia="Times New Roman" w:hAnsiTheme="majorHAnsi" w:cstheme="majorHAnsi"/>
                <w:sz w:val="17"/>
                <w:szCs w:val="17"/>
                <w:lang w:val="sk-SK" w:eastAsia="cs-CZ"/>
              </w:rPr>
              <w:t>140</w:t>
            </w:r>
          </w:p>
        </w:tc>
      </w:tr>
    </w:tbl>
    <w:p w14:paraId="6B87FEE8" w14:textId="77777777" w:rsidR="00AE3377" w:rsidRPr="00C4415A" w:rsidRDefault="00D67E87" w:rsidP="00061FD9">
      <w:pPr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sectPr w:rsidR="00AE3377" w:rsidRPr="00C4415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6D36" w14:textId="77777777" w:rsidR="00DB4E3F" w:rsidRDefault="00DB4E3F" w:rsidP="00B01C21">
      <w:pPr>
        <w:spacing w:after="0" w:line="240" w:lineRule="auto"/>
      </w:pPr>
      <w:r>
        <w:separator/>
      </w:r>
    </w:p>
  </w:endnote>
  <w:endnote w:type="continuationSeparator" w:id="0">
    <w:p w14:paraId="7FDCB0FE" w14:textId="77777777" w:rsidR="00DB4E3F" w:rsidRDefault="00DB4E3F" w:rsidP="00B0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301D" w14:textId="77777777" w:rsidR="00DB4E3F" w:rsidRDefault="00DB4E3F" w:rsidP="00B01C21">
      <w:pPr>
        <w:spacing w:after="0" w:line="240" w:lineRule="auto"/>
      </w:pPr>
      <w:bookmarkStart w:id="0" w:name="_Hlk54953739"/>
      <w:bookmarkEnd w:id="0"/>
      <w:r>
        <w:separator/>
      </w:r>
    </w:p>
  </w:footnote>
  <w:footnote w:type="continuationSeparator" w:id="0">
    <w:p w14:paraId="7A6C1E02" w14:textId="77777777" w:rsidR="00DB4E3F" w:rsidRDefault="00DB4E3F" w:rsidP="00B0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14C1" w14:textId="10E2DBDB" w:rsidR="00003AF8" w:rsidRDefault="00003AF8" w:rsidP="00003AF8">
    <w:pPr>
      <w:spacing w:after="0" w:line="240" w:lineRule="auto"/>
      <w:jc w:val="both"/>
      <w:rPr>
        <w:rFonts w:asciiTheme="majorHAnsi" w:hAnsiTheme="majorHAnsi" w:cstheme="majorHAnsi"/>
        <w:b/>
        <w:bCs/>
      </w:rPr>
    </w:pPr>
    <w:r>
      <w:rPr>
        <w:rFonts w:asciiTheme="majorHAnsi" w:eastAsia="Times New Roman" w:hAnsiTheme="majorHAnsi" w:cstheme="majorHAnsi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447E3C7" wp14:editId="6F058EA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940178" cy="651052"/>
          <wp:effectExtent l="0" t="0" r="0" b="0"/>
          <wp:wrapTight wrapText="bothSides">
            <wp:wrapPolygon edited="0">
              <wp:start x="1751" y="1264"/>
              <wp:lineTo x="1314" y="3793"/>
              <wp:lineTo x="2627" y="13908"/>
              <wp:lineTo x="6568" y="19598"/>
              <wp:lineTo x="9195" y="19598"/>
              <wp:lineTo x="12259" y="18334"/>
              <wp:lineTo x="19265" y="14540"/>
              <wp:lineTo x="18827" y="12644"/>
              <wp:lineTo x="20578" y="9483"/>
              <wp:lineTo x="17076" y="3161"/>
              <wp:lineTo x="3941" y="1264"/>
              <wp:lineTo x="1751" y="1264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78" cy="65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80DFD0" w14:textId="0C0AAEDC" w:rsidR="00003AF8" w:rsidRPr="00003AF8" w:rsidRDefault="00003AF8" w:rsidP="00003AF8">
    <w:pPr>
      <w:spacing w:after="0" w:line="240" w:lineRule="auto"/>
      <w:jc w:val="both"/>
      <w:rPr>
        <w:rFonts w:asciiTheme="majorHAnsi" w:hAnsiTheme="majorHAnsi" w:cstheme="majorHAnsi"/>
        <w:b/>
        <w:bCs/>
      </w:rPr>
    </w:pPr>
    <w:r w:rsidRPr="00003AF8">
      <w:rPr>
        <w:rFonts w:asciiTheme="majorHAnsi" w:hAnsiTheme="majorHAnsi" w:cstheme="majorHAnsi"/>
        <w:b/>
        <w:bCs/>
      </w:rPr>
      <w:t xml:space="preserve">Slovenská klimatická </w:t>
    </w:r>
    <w:proofErr w:type="spellStart"/>
    <w:r w:rsidRPr="00003AF8">
      <w:rPr>
        <w:rFonts w:asciiTheme="majorHAnsi" w:hAnsiTheme="majorHAnsi" w:cstheme="majorHAnsi"/>
        <w:b/>
        <w:bCs/>
      </w:rPr>
      <w:t>iniciatíva</w:t>
    </w:r>
    <w:proofErr w:type="spellEnd"/>
    <w:r w:rsidRPr="00003AF8">
      <w:rPr>
        <w:rFonts w:asciiTheme="majorHAnsi" w:hAnsiTheme="majorHAnsi" w:cstheme="majorHAnsi"/>
        <w:b/>
        <w:bCs/>
      </w:rPr>
      <w:t xml:space="preserve">, </w:t>
    </w:r>
  </w:p>
  <w:p w14:paraId="6C8ADBD5" w14:textId="7CA60DA3" w:rsidR="00B01C21" w:rsidRPr="00003AF8" w:rsidRDefault="00003AF8" w:rsidP="00003AF8">
    <w:pPr>
      <w:spacing w:after="0" w:line="240" w:lineRule="auto"/>
      <w:jc w:val="both"/>
    </w:pPr>
    <w:proofErr w:type="spellStart"/>
    <w:r w:rsidRPr="00003AF8">
      <w:rPr>
        <w:rFonts w:asciiTheme="majorHAnsi" w:hAnsiTheme="majorHAnsi" w:cstheme="majorHAnsi"/>
        <w:b/>
        <w:bCs/>
      </w:rPr>
      <w:t>Tlačová</w:t>
    </w:r>
    <w:proofErr w:type="spellEnd"/>
    <w:r w:rsidRPr="00003AF8">
      <w:rPr>
        <w:rFonts w:asciiTheme="majorHAnsi" w:hAnsiTheme="majorHAnsi" w:cstheme="majorHAnsi"/>
        <w:b/>
        <w:bCs/>
      </w:rPr>
      <w:t xml:space="preserve"> správa, </w:t>
    </w:r>
    <w:r w:rsidR="001E0DC9">
      <w:rPr>
        <w:rFonts w:asciiTheme="majorHAnsi" w:hAnsiTheme="majorHAnsi" w:cstheme="majorHAnsi"/>
        <w:b/>
        <w:bCs/>
      </w:rPr>
      <w:t>2</w:t>
    </w:r>
    <w:r w:rsidRPr="00003AF8">
      <w:rPr>
        <w:rFonts w:asciiTheme="majorHAnsi" w:hAnsiTheme="majorHAnsi" w:cstheme="majorHAnsi"/>
        <w:b/>
        <w:bCs/>
      </w:rPr>
      <w:t>.1</w:t>
    </w:r>
    <w:r w:rsidR="001E0DC9">
      <w:rPr>
        <w:rFonts w:asciiTheme="majorHAnsi" w:hAnsiTheme="majorHAnsi" w:cstheme="majorHAnsi"/>
        <w:b/>
        <w:bCs/>
      </w:rPr>
      <w:t>1</w:t>
    </w:r>
    <w:r w:rsidRPr="00003AF8">
      <w:rPr>
        <w:rFonts w:asciiTheme="majorHAnsi" w:hAnsiTheme="majorHAnsi" w:cstheme="majorHAnsi"/>
        <w:b/>
        <w:bCs/>
      </w:rPr>
      <w:t>.2020</w:t>
    </w:r>
  </w:p>
  <w:p w14:paraId="6F7ACF51" w14:textId="77777777" w:rsidR="00B01C21" w:rsidRDefault="00B01C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340B"/>
    <w:multiLevelType w:val="multilevel"/>
    <w:tmpl w:val="6E3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560DC"/>
    <w:multiLevelType w:val="multilevel"/>
    <w:tmpl w:val="69B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A0BB0"/>
    <w:multiLevelType w:val="multilevel"/>
    <w:tmpl w:val="402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94C15"/>
    <w:multiLevelType w:val="multilevel"/>
    <w:tmpl w:val="289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F4A48"/>
    <w:multiLevelType w:val="multilevel"/>
    <w:tmpl w:val="E3A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C5005"/>
    <w:multiLevelType w:val="multilevel"/>
    <w:tmpl w:val="2DE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A7"/>
    <w:rsid w:val="00003AF8"/>
    <w:rsid w:val="00006119"/>
    <w:rsid w:val="00061FD9"/>
    <w:rsid w:val="000A52A6"/>
    <w:rsid w:val="000D006E"/>
    <w:rsid w:val="0010486E"/>
    <w:rsid w:val="001260BE"/>
    <w:rsid w:val="001336C8"/>
    <w:rsid w:val="001452ED"/>
    <w:rsid w:val="00190765"/>
    <w:rsid w:val="0019094B"/>
    <w:rsid w:val="001C541E"/>
    <w:rsid w:val="001D7ED7"/>
    <w:rsid w:val="001E0DC9"/>
    <w:rsid w:val="00204C12"/>
    <w:rsid w:val="002104A7"/>
    <w:rsid w:val="002174E2"/>
    <w:rsid w:val="00266B43"/>
    <w:rsid w:val="00296000"/>
    <w:rsid w:val="002F4F10"/>
    <w:rsid w:val="00313D28"/>
    <w:rsid w:val="003250F6"/>
    <w:rsid w:val="0037262C"/>
    <w:rsid w:val="00391CCE"/>
    <w:rsid w:val="003A4728"/>
    <w:rsid w:val="003F0D8C"/>
    <w:rsid w:val="0041666F"/>
    <w:rsid w:val="004176C0"/>
    <w:rsid w:val="00417783"/>
    <w:rsid w:val="00424E6C"/>
    <w:rsid w:val="00441513"/>
    <w:rsid w:val="004669AC"/>
    <w:rsid w:val="004C4EC5"/>
    <w:rsid w:val="004D301E"/>
    <w:rsid w:val="004D58A4"/>
    <w:rsid w:val="004E5223"/>
    <w:rsid w:val="005054CA"/>
    <w:rsid w:val="00552DBB"/>
    <w:rsid w:val="00565F68"/>
    <w:rsid w:val="005A6909"/>
    <w:rsid w:val="005D03D0"/>
    <w:rsid w:val="005E023F"/>
    <w:rsid w:val="006124CC"/>
    <w:rsid w:val="00665003"/>
    <w:rsid w:val="006F1008"/>
    <w:rsid w:val="00727BEE"/>
    <w:rsid w:val="00730679"/>
    <w:rsid w:val="007A76B2"/>
    <w:rsid w:val="007C6A0D"/>
    <w:rsid w:val="007D49DA"/>
    <w:rsid w:val="00834B03"/>
    <w:rsid w:val="008418FF"/>
    <w:rsid w:val="00862A56"/>
    <w:rsid w:val="00872A76"/>
    <w:rsid w:val="00885683"/>
    <w:rsid w:val="008A3A61"/>
    <w:rsid w:val="008B7D2E"/>
    <w:rsid w:val="008E6885"/>
    <w:rsid w:val="00902512"/>
    <w:rsid w:val="009663FC"/>
    <w:rsid w:val="00987F81"/>
    <w:rsid w:val="009C22EA"/>
    <w:rsid w:val="009D7393"/>
    <w:rsid w:val="00A00733"/>
    <w:rsid w:val="00A333A5"/>
    <w:rsid w:val="00A703DD"/>
    <w:rsid w:val="00AC666F"/>
    <w:rsid w:val="00AD3607"/>
    <w:rsid w:val="00B01C21"/>
    <w:rsid w:val="00B353BA"/>
    <w:rsid w:val="00B47983"/>
    <w:rsid w:val="00B90D2C"/>
    <w:rsid w:val="00BB2B2C"/>
    <w:rsid w:val="00BB34B2"/>
    <w:rsid w:val="00BC3C1A"/>
    <w:rsid w:val="00BE15EA"/>
    <w:rsid w:val="00C016A6"/>
    <w:rsid w:val="00C1552B"/>
    <w:rsid w:val="00C17728"/>
    <w:rsid w:val="00C4415A"/>
    <w:rsid w:val="00C5373D"/>
    <w:rsid w:val="00C83F6D"/>
    <w:rsid w:val="00CB38E7"/>
    <w:rsid w:val="00CE5DCB"/>
    <w:rsid w:val="00D67E87"/>
    <w:rsid w:val="00D911AB"/>
    <w:rsid w:val="00D94564"/>
    <w:rsid w:val="00DB4E3F"/>
    <w:rsid w:val="00DC612F"/>
    <w:rsid w:val="00DD02F9"/>
    <w:rsid w:val="00DD1896"/>
    <w:rsid w:val="00DD7B61"/>
    <w:rsid w:val="00E4406A"/>
    <w:rsid w:val="00E777C6"/>
    <w:rsid w:val="00E86493"/>
    <w:rsid w:val="00E9398F"/>
    <w:rsid w:val="00E969E6"/>
    <w:rsid w:val="00EA1A22"/>
    <w:rsid w:val="00EA7807"/>
    <w:rsid w:val="00F02C7E"/>
    <w:rsid w:val="00F27E9D"/>
    <w:rsid w:val="00F62677"/>
    <w:rsid w:val="00F911A7"/>
    <w:rsid w:val="00FF29DC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2F12"/>
  <w15:chartTrackingRefBased/>
  <w15:docId w15:val="{E961F523-99FD-438D-8473-200A22D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9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911A7"/>
    <w:rPr>
      <w:color w:val="0000FF"/>
      <w:u w:val="single"/>
    </w:rPr>
  </w:style>
  <w:style w:type="table" w:styleId="Obyajntabuka4">
    <w:name w:val="Plain Table 4"/>
    <w:basedOn w:val="Normlnatabuka"/>
    <w:uiPriority w:val="44"/>
    <w:rsid w:val="00061F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1svetlzvraznenie1">
    <w:name w:val="Grid Table 1 Light Accent 1"/>
    <w:basedOn w:val="Normlnatabuka"/>
    <w:uiPriority w:val="46"/>
    <w:rsid w:val="007A76B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rieenzmienka">
    <w:name w:val="Unresolved Mention"/>
    <w:basedOn w:val="Predvolenpsmoodseku"/>
    <w:uiPriority w:val="99"/>
    <w:semiHidden/>
    <w:unhideWhenUsed/>
    <w:rsid w:val="007C6A0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AC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1C21"/>
  </w:style>
  <w:style w:type="paragraph" w:styleId="Pta">
    <w:name w:val="footer"/>
    <w:basedOn w:val="Normlny"/>
    <w:link w:val="PtaChar"/>
    <w:uiPriority w:val="99"/>
    <w:unhideWhenUsed/>
    <w:rsid w:val="00B0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ctiv.sk/section/energeticka-ucinnost/opinion/sedem-veci-ktore-chybaju-v-slovenskom-energetickom-a-klimatickom-plane/" TargetMode="External"/><Relationship Id="rId13" Type="http://schemas.openxmlformats.org/officeDocument/2006/relationships/hyperlink" Target="https://www.sapi.sk/clanok/analyza-sapi-necp-potrebuje-revizi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pi.sk/" TargetMode="External"/><Relationship Id="rId12" Type="http://schemas.openxmlformats.org/officeDocument/2006/relationships/hyperlink" Target="https://euractiv.sk/section/energeticka-ucinnost/opinion/sedem-veci-ktore-chybaju-v-slovenskom-energetickom-a-klimatickom-plane/" TargetMode="External"/><Relationship Id="rId17" Type="http://schemas.openxmlformats.org/officeDocument/2006/relationships/hyperlink" Target="https://euractiv.sk/section/energeticka-ucinnost/opinion/sedem-veci-ktore-chybaju-v-slovenskom-energetickom-a-klimatickom-pla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imatickainiciativa.s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nergy/content/individual-assessments-and-summaries_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imatapotrebuje.sk/" TargetMode="External"/><Relationship Id="rId10" Type="http://schemas.openxmlformats.org/officeDocument/2006/relationships/hyperlink" Target="https://www.klimatapotrebuje.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pb.sk/" TargetMode="External"/><Relationship Id="rId14" Type="http://schemas.openxmlformats.org/officeDocument/2006/relationships/hyperlink" Target="https://www.sapi.sk/files/165_necp-analyz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1413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Rástocká</dc:creator>
  <cp:keywords/>
  <dc:description/>
  <cp:lastModifiedBy>Liliana Rástocká</cp:lastModifiedBy>
  <cp:revision>103</cp:revision>
  <dcterms:created xsi:type="dcterms:W3CDTF">2020-10-30T08:15:00Z</dcterms:created>
  <dcterms:modified xsi:type="dcterms:W3CDTF">2020-11-02T11:24:00Z</dcterms:modified>
</cp:coreProperties>
</file>